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CB" w:rsidRPr="00AA5661" w:rsidRDefault="00E127CB" w:rsidP="00E127CB">
      <w:pPr>
        <w:jc w:val="right"/>
        <w:rPr>
          <w:rFonts w:ascii="Gill Sans MT" w:hAnsi="Gill Sans MT"/>
          <w:b/>
          <w:sz w:val="24"/>
          <w:szCs w:val="24"/>
        </w:rPr>
      </w:pPr>
      <w:r w:rsidRPr="00AA5661">
        <w:rPr>
          <w:rFonts w:ascii="Gill Sans MT" w:hAnsi="Gill Sans MT"/>
          <w:b/>
          <w:sz w:val="24"/>
          <w:szCs w:val="24"/>
        </w:rPr>
        <w:t>ATTACHMENT 2</w:t>
      </w:r>
    </w:p>
    <w:p w:rsidR="00E127CB" w:rsidRPr="00AA5661" w:rsidRDefault="00E127CB">
      <w:pPr>
        <w:rPr>
          <w:rFonts w:ascii="Gill Sans MT" w:hAnsi="Gill Sans MT"/>
          <w:b/>
          <w:sz w:val="24"/>
          <w:szCs w:val="24"/>
        </w:rPr>
      </w:pPr>
    </w:p>
    <w:p w:rsidR="00E127CB" w:rsidRPr="00AA5661" w:rsidRDefault="00E127CB" w:rsidP="00E127CB">
      <w:pPr>
        <w:jc w:val="center"/>
        <w:rPr>
          <w:rFonts w:ascii="Gill Sans MT" w:hAnsi="Gill Sans MT"/>
          <w:b/>
          <w:sz w:val="28"/>
          <w:szCs w:val="28"/>
        </w:rPr>
      </w:pPr>
      <w:r w:rsidRPr="00AA5661">
        <w:rPr>
          <w:rFonts w:ascii="Gill Sans MT" w:hAnsi="Gill Sans MT"/>
          <w:b/>
          <w:sz w:val="28"/>
          <w:szCs w:val="28"/>
        </w:rPr>
        <w:t>FURTHER INFORMATION</w:t>
      </w:r>
    </w:p>
    <w:p w:rsidR="00E83D6F" w:rsidRPr="00AA5661" w:rsidRDefault="00E127CB" w:rsidP="00E127CB">
      <w:pPr>
        <w:jc w:val="center"/>
        <w:rPr>
          <w:rFonts w:ascii="Gill Sans MT" w:hAnsi="Gill Sans MT"/>
          <w:b/>
          <w:sz w:val="28"/>
          <w:szCs w:val="28"/>
        </w:rPr>
      </w:pPr>
      <w:r w:rsidRPr="00AA5661">
        <w:rPr>
          <w:rFonts w:ascii="Gill Sans MT" w:hAnsi="Gill Sans MT"/>
          <w:b/>
          <w:i/>
          <w:sz w:val="28"/>
          <w:szCs w:val="28"/>
        </w:rPr>
        <w:t>Workers Rehabilitation and Compensation Amendment Bill 2022</w:t>
      </w:r>
      <w:r w:rsidRPr="00AA5661">
        <w:rPr>
          <w:rFonts w:ascii="Gill Sans MT" w:hAnsi="Gill Sans MT"/>
          <w:b/>
          <w:sz w:val="28"/>
          <w:szCs w:val="28"/>
        </w:rPr>
        <w:t xml:space="preserve"> </w:t>
      </w:r>
      <w:r w:rsidRPr="00AA5661">
        <w:rPr>
          <w:rFonts w:ascii="Gill Sans MT" w:hAnsi="Gill Sans MT"/>
          <w:b/>
          <w:sz w:val="28"/>
          <w:szCs w:val="28"/>
        </w:rPr>
        <w:br/>
        <w:t>(</w:t>
      </w:r>
      <w:r w:rsidR="00DA240C" w:rsidRPr="00AA5661">
        <w:rPr>
          <w:rFonts w:ascii="Gill Sans MT" w:hAnsi="Gill Sans MT"/>
          <w:b/>
          <w:sz w:val="28"/>
          <w:szCs w:val="28"/>
        </w:rPr>
        <w:t>Consultation</w:t>
      </w:r>
      <w:r w:rsidR="004278C3">
        <w:rPr>
          <w:rFonts w:ascii="Gill Sans MT" w:hAnsi="Gill Sans MT"/>
          <w:b/>
          <w:sz w:val="28"/>
          <w:szCs w:val="28"/>
        </w:rPr>
        <w:t xml:space="preserve"> Draft</w:t>
      </w:r>
      <w:r w:rsidRPr="00AA5661">
        <w:rPr>
          <w:rFonts w:ascii="Gill Sans MT" w:hAnsi="Gill Sans MT"/>
          <w:b/>
          <w:sz w:val="28"/>
          <w:szCs w:val="28"/>
        </w:rPr>
        <w:t>)</w:t>
      </w:r>
    </w:p>
    <w:p w:rsidR="00F1433D" w:rsidRPr="00AA5661" w:rsidRDefault="00B05E6F">
      <w:pPr>
        <w:rPr>
          <w:rFonts w:ascii="Gill Sans MT" w:hAnsi="Gill Sans MT"/>
          <w:b/>
          <w:sz w:val="28"/>
          <w:szCs w:val="28"/>
        </w:rPr>
      </w:pPr>
      <w:r w:rsidRPr="00AA5661">
        <w:rPr>
          <w:rFonts w:ascii="Gill Sans MT" w:hAnsi="Gill Sans MT"/>
          <w:b/>
          <w:sz w:val="28"/>
          <w:szCs w:val="28"/>
        </w:rPr>
        <w:t>Introduction</w:t>
      </w:r>
    </w:p>
    <w:p w:rsidR="00D72E55" w:rsidRPr="00AA5661" w:rsidRDefault="00C34A79" w:rsidP="00D72E55">
      <w:pPr>
        <w:rPr>
          <w:rFonts w:ascii="Gill Sans MT" w:hAnsi="Gill Sans MT" w:cstheme="minorHAnsi"/>
        </w:rPr>
      </w:pPr>
      <w:r w:rsidRPr="00AA5661">
        <w:rPr>
          <w:rFonts w:ascii="Gill Sans MT" w:hAnsi="Gill Sans MT"/>
          <w:sz w:val="24"/>
          <w:szCs w:val="24"/>
        </w:rPr>
        <w:t xml:space="preserve">This paper provides information on the </w:t>
      </w:r>
      <w:r w:rsidR="004278C3">
        <w:rPr>
          <w:rFonts w:ascii="Gill Sans MT" w:hAnsi="Gill Sans MT"/>
          <w:sz w:val="24"/>
          <w:szCs w:val="24"/>
        </w:rPr>
        <w:t>d</w:t>
      </w:r>
      <w:r w:rsidRPr="00AA5661">
        <w:rPr>
          <w:rFonts w:ascii="Gill Sans MT" w:hAnsi="Gill Sans MT"/>
          <w:sz w:val="24"/>
          <w:szCs w:val="24"/>
        </w:rPr>
        <w:t xml:space="preserve">raft </w:t>
      </w:r>
      <w:r w:rsidRPr="00AA5661">
        <w:rPr>
          <w:rFonts w:ascii="Gill Sans MT" w:hAnsi="Gill Sans MT"/>
          <w:i/>
          <w:sz w:val="24"/>
          <w:szCs w:val="24"/>
        </w:rPr>
        <w:t>Workers Rehabilitation and Compensation Amendment Bill 2022</w:t>
      </w:r>
      <w:r w:rsidRPr="00AA5661">
        <w:rPr>
          <w:rFonts w:ascii="Gill Sans MT" w:hAnsi="Gill Sans MT"/>
          <w:sz w:val="24"/>
          <w:szCs w:val="24"/>
        </w:rPr>
        <w:t xml:space="preserve"> (the Bill</w:t>
      </w:r>
      <w:r w:rsidR="00A36168">
        <w:rPr>
          <w:rFonts w:ascii="Gill Sans MT" w:hAnsi="Gill Sans MT"/>
          <w:sz w:val="24"/>
          <w:szCs w:val="24"/>
        </w:rPr>
        <w:t>)</w:t>
      </w:r>
      <w:r w:rsidRPr="00AA5661">
        <w:rPr>
          <w:rFonts w:ascii="Gill Sans MT" w:hAnsi="Gill Sans MT"/>
          <w:sz w:val="24"/>
          <w:szCs w:val="24"/>
        </w:rPr>
        <w:t xml:space="preserve">.  </w:t>
      </w:r>
      <w:r w:rsidR="00D72E55" w:rsidRPr="00AA5661">
        <w:rPr>
          <w:rFonts w:ascii="Gill Sans MT" w:hAnsi="Gill Sans MT" w:cstheme="minorHAnsi"/>
        </w:rPr>
        <w:t xml:space="preserve">The Bill sets out proposed amendments to the following two sections of the </w:t>
      </w:r>
      <w:r w:rsidR="00D72E55" w:rsidRPr="00AA5661">
        <w:rPr>
          <w:rFonts w:ascii="Gill Sans MT" w:hAnsi="Gill Sans MT" w:cstheme="minorHAnsi"/>
          <w:i/>
        </w:rPr>
        <w:t xml:space="preserve">Workers Rehabilitation and Compensation Act 1988 </w:t>
      </w:r>
      <w:r w:rsidR="00D72E55" w:rsidRPr="00AA5661">
        <w:rPr>
          <w:rFonts w:ascii="Gill Sans MT" w:hAnsi="Gill Sans MT" w:cstheme="minorHAnsi"/>
        </w:rPr>
        <w:t>(the Act):</w:t>
      </w:r>
    </w:p>
    <w:p w:rsidR="00D72E55" w:rsidRPr="00AA5661" w:rsidRDefault="00D72E55" w:rsidP="00D72E55">
      <w:pPr>
        <w:pStyle w:val="ListParagraph"/>
        <w:numPr>
          <w:ilvl w:val="0"/>
          <w:numId w:val="3"/>
        </w:numPr>
        <w:rPr>
          <w:rFonts w:ascii="Gill Sans MT" w:hAnsi="Gill Sans MT" w:cstheme="minorHAnsi"/>
          <w:sz w:val="24"/>
          <w:szCs w:val="24"/>
        </w:rPr>
      </w:pPr>
      <w:r w:rsidRPr="00AA5661">
        <w:rPr>
          <w:rFonts w:ascii="Gill Sans MT" w:hAnsi="Gill Sans MT" w:cstheme="minorHAnsi"/>
          <w:sz w:val="24"/>
          <w:szCs w:val="24"/>
        </w:rPr>
        <w:t xml:space="preserve">Section 27 </w:t>
      </w:r>
      <w:r w:rsidRPr="00AA5661">
        <w:rPr>
          <w:rFonts w:ascii="Gill Sans MT" w:hAnsi="Gill Sans MT" w:cstheme="minorHAnsi"/>
          <w:bCs/>
          <w:i/>
          <w:color w:val="000000"/>
          <w:sz w:val="24"/>
          <w:szCs w:val="24"/>
          <w:shd w:val="clear" w:color="auto" w:fill="FFFFFF"/>
        </w:rPr>
        <w:t>Presumption as to cause of certain diseases in relation to fire-fighters</w:t>
      </w:r>
      <w:r w:rsidRPr="00AA5661">
        <w:rPr>
          <w:rFonts w:ascii="Gill Sans MT" w:hAnsi="Gill Sans MT" w:cstheme="minorHAnsi"/>
          <w:bCs/>
          <w:color w:val="000000"/>
          <w:sz w:val="24"/>
          <w:szCs w:val="24"/>
          <w:shd w:val="clear" w:color="auto" w:fill="FFFFFF"/>
        </w:rPr>
        <w:t>; and</w:t>
      </w:r>
    </w:p>
    <w:p w:rsidR="00D72E55" w:rsidRPr="00AA5661" w:rsidRDefault="00D72E55" w:rsidP="00D72E55">
      <w:pPr>
        <w:pStyle w:val="ListParagraph"/>
        <w:numPr>
          <w:ilvl w:val="0"/>
          <w:numId w:val="3"/>
        </w:numPr>
        <w:rPr>
          <w:rFonts w:ascii="Gill Sans MT" w:hAnsi="Gill Sans MT" w:cstheme="minorHAnsi"/>
          <w:sz w:val="24"/>
          <w:szCs w:val="24"/>
        </w:rPr>
      </w:pPr>
      <w:r w:rsidRPr="00AA5661">
        <w:rPr>
          <w:rFonts w:ascii="Gill Sans MT" w:hAnsi="Gill Sans MT" w:cstheme="minorHAnsi"/>
          <w:sz w:val="24"/>
          <w:szCs w:val="24"/>
        </w:rPr>
        <w:t xml:space="preserve">Section 87 </w:t>
      </w:r>
      <w:r w:rsidRPr="00AA5661">
        <w:rPr>
          <w:rFonts w:ascii="Gill Sans MT" w:hAnsi="Gill Sans MT"/>
          <w:bCs/>
          <w:i/>
          <w:color w:val="000000"/>
          <w:sz w:val="24"/>
          <w:szCs w:val="24"/>
          <w:shd w:val="clear" w:color="auto" w:fill="FFFFFF"/>
        </w:rPr>
        <w:t>Cessation on account of age of entitlement to weekly payments</w:t>
      </w:r>
      <w:r w:rsidRPr="00AA5661">
        <w:rPr>
          <w:rFonts w:ascii="Gill Sans MT" w:hAnsi="Gill Sans MT"/>
          <w:bCs/>
          <w:color w:val="000000"/>
          <w:sz w:val="24"/>
          <w:szCs w:val="24"/>
          <w:shd w:val="clear" w:color="auto" w:fill="FFFFFF"/>
        </w:rPr>
        <w:t>.</w:t>
      </w:r>
    </w:p>
    <w:p w:rsidR="004278C3" w:rsidRPr="00AA5661" w:rsidRDefault="00C34A79">
      <w:pPr>
        <w:rPr>
          <w:rFonts w:ascii="Gill Sans MT" w:hAnsi="Gill Sans MT"/>
          <w:sz w:val="24"/>
          <w:szCs w:val="24"/>
        </w:rPr>
      </w:pPr>
      <w:r w:rsidRPr="00AA5661">
        <w:rPr>
          <w:rFonts w:ascii="Gill Sans MT" w:hAnsi="Gill Sans MT"/>
          <w:sz w:val="24"/>
          <w:szCs w:val="24"/>
        </w:rPr>
        <w:t xml:space="preserve">The Bill gives effect to the outcomes of </w:t>
      </w:r>
      <w:r w:rsidR="00D72E55" w:rsidRPr="00AA5661">
        <w:rPr>
          <w:rFonts w:ascii="Gill Sans MT" w:hAnsi="Gill Sans MT"/>
          <w:sz w:val="24"/>
          <w:szCs w:val="24"/>
        </w:rPr>
        <w:t xml:space="preserve">two reviews coordinated by the WorkCover Tasmania Board </w:t>
      </w:r>
      <w:r w:rsidR="00B41207" w:rsidRPr="00AA5661">
        <w:rPr>
          <w:rFonts w:ascii="Gill Sans MT" w:hAnsi="Gill Sans MT"/>
          <w:sz w:val="24"/>
          <w:szCs w:val="24"/>
        </w:rPr>
        <w:t xml:space="preserve">(the Board) </w:t>
      </w:r>
      <w:r w:rsidR="00D72E55" w:rsidRPr="00AA5661">
        <w:rPr>
          <w:rFonts w:ascii="Gill Sans MT" w:hAnsi="Gill Sans MT"/>
          <w:sz w:val="24"/>
          <w:szCs w:val="24"/>
        </w:rPr>
        <w:t>at the request of the Minister responsible for the administration of the Act.</w:t>
      </w:r>
      <w:r w:rsidR="004278C3">
        <w:rPr>
          <w:rFonts w:ascii="Gill Sans MT" w:hAnsi="Gill Sans MT"/>
          <w:sz w:val="24"/>
          <w:szCs w:val="24"/>
        </w:rPr>
        <w:t xml:space="preserve">  </w:t>
      </w:r>
    </w:p>
    <w:p w:rsidR="004278C3" w:rsidRDefault="004278C3" w:rsidP="00B05E6F">
      <w:pPr>
        <w:ind w:left="1440" w:hanging="1440"/>
        <w:rPr>
          <w:rFonts w:ascii="Gill Sans MT" w:hAnsi="Gill Sans MT"/>
          <w:b/>
          <w:sz w:val="28"/>
          <w:szCs w:val="28"/>
        </w:rPr>
      </w:pPr>
    </w:p>
    <w:p w:rsidR="00B05E6F" w:rsidRPr="00AA5661" w:rsidRDefault="00A36168" w:rsidP="00B05E6F">
      <w:pPr>
        <w:ind w:left="1440" w:hanging="1440"/>
        <w:rPr>
          <w:rFonts w:ascii="Gill Sans MT" w:hAnsi="Gill Sans MT"/>
          <w:b/>
          <w:sz w:val="28"/>
          <w:szCs w:val="28"/>
        </w:rPr>
      </w:pPr>
      <w:r>
        <w:rPr>
          <w:rFonts w:ascii="Gill Sans MT" w:hAnsi="Gill Sans MT"/>
          <w:b/>
          <w:sz w:val="28"/>
          <w:szCs w:val="28"/>
        </w:rPr>
        <w:t xml:space="preserve">Section 27: </w:t>
      </w:r>
      <w:r w:rsidR="00AA5661">
        <w:rPr>
          <w:rFonts w:ascii="Gill Sans MT" w:hAnsi="Gill Sans MT"/>
          <w:b/>
          <w:sz w:val="28"/>
          <w:szCs w:val="28"/>
        </w:rPr>
        <w:t xml:space="preserve">Presumptive provisions </w:t>
      </w:r>
      <w:r>
        <w:rPr>
          <w:rFonts w:ascii="Gill Sans MT" w:hAnsi="Gill Sans MT"/>
          <w:b/>
          <w:sz w:val="28"/>
          <w:szCs w:val="28"/>
        </w:rPr>
        <w:t>for</w:t>
      </w:r>
      <w:r w:rsidR="00AA5661">
        <w:rPr>
          <w:rFonts w:ascii="Gill Sans MT" w:hAnsi="Gill Sans MT"/>
          <w:b/>
          <w:sz w:val="28"/>
          <w:szCs w:val="28"/>
        </w:rPr>
        <w:t xml:space="preserve"> firefighters </w:t>
      </w:r>
    </w:p>
    <w:p w:rsidR="00B05E6F" w:rsidRPr="00AA5661" w:rsidRDefault="00B05E6F" w:rsidP="00B05E6F">
      <w:pPr>
        <w:rPr>
          <w:rFonts w:ascii="Gill Sans MT" w:hAnsi="Gill Sans MT"/>
          <w:b/>
          <w:sz w:val="24"/>
          <w:szCs w:val="24"/>
        </w:rPr>
      </w:pPr>
      <w:r w:rsidRPr="00AA5661">
        <w:rPr>
          <w:rFonts w:ascii="Gill Sans MT" w:hAnsi="Gill Sans MT"/>
          <w:b/>
          <w:sz w:val="24"/>
          <w:szCs w:val="24"/>
        </w:rPr>
        <w:t>Background</w:t>
      </w:r>
    </w:p>
    <w:p w:rsidR="00F1433D" w:rsidRPr="00AA5661" w:rsidRDefault="00C34A79">
      <w:pPr>
        <w:rPr>
          <w:rFonts w:ascii="Gill Sans MT" w:hAnsi="Gill Sans MT" w:cstheme="minorHAnsi"/>
          <w:sz w:val="24"/>
          <w:szCs w:val="24"/>
        </w:rPr>
      </w:pPr>
      <w:r w:rsidRPr="00AA5661">
        <w:rPr>
          <w:rFonts w:ascii="Gill Sans MT" w:hAnsi="Gill Sans MT" w:cstheme="minorHAnsi"/>
          <w:sz w:val="24"/>
          <w:szCs w:val="24"/>
        </w:rPr>
        <w:t xml:space="preserve">Section 27 of the </w:t>
      </w:r>
      <w:r w:rsidR="00D72E55" w:rsidRPr="00AA5661">
        <w:rPr>
          <w:rFonts w:ascii="Gill Sans MT" w:hAnsi="Gill Sans MT"/>
          <w:sz w:val="24"/>
          <w:szCs w:val="24"/>
        </w:rPr>
        <w:t>Act</w:t>
      </w:r>
      <w:r w:rsidRPr="00AA5661">
        <w:rPr>
          <w:rFonts w:ascii="Gill Sans MT" w:hAnsi="Gill Sans MT"/>
          <w:sz w:val="24"/>
          <w:szCs w:val="24"/>
        </w:rPr>
        <w:t xml:space="preserve"> </w:t>
      </w:r>
      <w:r w:rsidRPr="00AA5661">
        <w:rPr>
          <w:rFonts w:ascii="Gill Sans MT" w:hAnsi="Gill Sans MT" w:cstheme="minorHAnsi"/>
          <w:sz w:val="24"/>
          <w:szCs w:val="24"/>
        </w:rPr>
        <w:t xml:space="preserve">sets out the provisions whereby, when a fire-fighter who meets relevant criteria is diagnosed with a specified disease (each of which is a type of cancer), it is presumed, in the absence of evidence to the contrary, that fire-fighting was a substantial contributing factor to the disease.  </w:t>
      </w:r>
    </w:p>
    <w:p w:rsidR="001A07A0" w:rsidRPr="00AA5661" w:rsidRDefault="001A07A0" w:rsidP="001A07A0">
      <w:pPr>
        <w:rPr>
          <w:rFonts w:ascii="Gill Sans MT" w:hAnsi="Gill Sans MT" w:cstheme="minorHAnsi"/>
          <w:sz w:val="24"/>
          <w:szCs w:val="24"/>
        </w:rPr>
      </w:pPr>
      <w:r w:rsidRPr="00AA5661">
        <w:rPr>
          <w:rFonts w:ascii="Gill Sans MT" w:hAnsi="Gill Sans MT" w:cstheme="minorHAnsi"/>
          <w:sz w:val="24"/>
          <w:szCs w:val="24"/>
        </w:rPr>
        <w:t>The provisions currently cover three categories of fire-fighters – ‘career fire-fighters’, ‘volunteer fire-fighters’ and ‘occupational fire-fighters’ – each of which is described in section 27.</w:t>
      </w:r>
    </w:p>
    <w:p w:rsidR="001A07A0" w:rsidRPr="00AA5661" w:rsidRDefault="001A07A0" w:rsidP="001A07A0">
      <w:pPr>
        <w:rPr>
          <w:rFonts w:ascii="Gill Sans MT" w:hAnsi="Gill Sans MT" w:cstheme="minorHAnsi"/>
          <w:sz w:val="24"/>
          <w:szCs w:val="24"/>
        </w:rPr>
      </w:pPr>
      <w:r w:rsidRPr="00AA5661">
        <w:rPr>
          <w:rFonts w:ascii="Gill Sans MT" w:hAnsi="Gill Sans MT" w:cstheme="minorHAnsi"/>
          <w:sz w:val="24"/>
          <w:szCs w:val="24"/>
        </w:rPr>
        <w:t>The diseases covered by the</w:t>
      </w:r>
      <w:r w:rsidR="000C3069">
        <w:rPr>
          <w:rFonts w:ascii="Gill Sans MT" w:hAnsi="Gill Sans MT" w:cstheme="minorHAnsi"/>
          <w:sz w:val="24"/>
          <w:szCs w:val="24"/>
        </w:rPr>
        <w:t xml:space="preserve"> presumption</w:t>
      </w:r>
      <w:r w:rsidRPr="00AA5661">
        <w:rPr>
          <w:rFonts w:ascii="Gill Sans MT" w:hAnsi="Gill Sans MT" w:cstheme="minorHAnsi"/>
          <w:sz w:val="24"/>
          <w:szCs w:val="24"/>
        </w:rPr>
        <w:t xml:space="preserve"> and the period of employment as a fire-fighter </w:t>
      </w:r>
      <w:r w:rsidR="000C3069">
        <w:rPr>
          <w:rFonts w:ascii="Gill Sans MT" w:hAnsi="Gill Sans MT" w:cstheme="minorHAnsi"/>
          <w:sz w:val="24"/>
          <w:szCs w:val="24"/>
        </w:rPr>
        <w:t>(</w:t>
      </w:r>
      <w:r w:rsidRPr="00AA5661">
        <w:rPr>
          <w:rFonts w:ascii="Gill Sans MT" w:hAnsi="Gill Sans MT" w:cstheme="minorHAnsi"/>
          <w:sz w:val="24"/>
          <w:szCs w:val="24"/>
        </w:rPr>
        <w:t>required before the pres</w:t>
      </w:r>
      <w:r w:rsidR="000C3069">
        <w:rPr>
          <w:rFonts w:ascii="Gill Sans MT" w:hAnsi="Gill Sans MT" w:cstheme="minorHAnsi"/>
          <w:sz w:val="24"/>
          <w:szCs w:val="24"/>
        </w:rPr>
        <w:t>umption applies to each disease)</w:t>
      </w:r>
      <w:r w:rsidRPr="00AA5661">
        <w:rPr>
          <w:rFonts w:ascii="Gill Sans MT" w:hAnsi="Gill Sans MT" w:cstheme="minorHAnsi"/>
          <w:sz w:val="24"/>
          <w:szCs w:val="24"/>
        </w:rPr>
        <w:t xml:space="preserve"> are set out in Schedule 5 of the Act.</w:t>
      </w:r>
    </w:p>
    <w:p w:rsidR="00B41207" w:rsidRPr="00AA5661" w:rsidRDefault="00B41207" w:rsidP="001A07A0">
      <w:pPr>
        <w:rPr>
          <w:rFonts w:ascii="Gill Sans MT" w:hAnsi="Gill Sans MT" w:cstheme="minorHAnsi"/>
          <w:sz w:val="24"/>
          <w:szCs w:val="24"/>
        </w:rPr>
      </w:pPr>
      <w:r w:rsidRPr="00AA5661">
        <w:rPr>
          <w:rFonts w:ascii="Gill Sans MT" w:hAnsi="Gill Sans MT"/>
          <w:sz w:val="24"/>
          <w:szCs w:val="24"/>
        </w:rPr>
        <w:t>The qualifying period (i.e. the number of years the worker must have worked as a fire-fighter before the presumption applies) varies from five to 25 years, depending on the type of cancer.</w:t>
      </w:r>
    </w:p>
    <w:p w:rsidR="007C3965" w:rsidRPr="00AA5661" w:rsidRDefault="00B41207" w:rsidP="007C3965">
      <w:pPr>
        <w:rPr>
          <w:rFonts w:ascii="Gill Sans MT" w:hAnsi="Gill Sans MT"/>
          <w:sz w:val="24"/>
          <w:szCs w:val="24"/>
        </w:rPr>
      </w:pPr>
      <w:r w:rsidRPr="00AA5661">
        <w:rPr>
          <w:rFonts w:ascii="Gill Sans MT" w:hAnsi="Gill Sans MT"/>
          <w:sz w:val="24"/>
          <w:szCs w:val="24"/>
        </w:rPr>
        <w:t>Section 28 of the Act</w:t>
      </w:r>
      <w:r w:rsidR="00287188">
        <w:rPr>
          <w:rFonts w:ascii="Gill Sans MT" w:hAnsi="Gill Sans MT"/>
          <w:sz w:val="24"/>
          <w:szCs w:val="24"/>
        </w:rPr>
        <w:t xml:space="preserve"> </w:t>
      </w:r>
      <w:r w:rsidR="00287188" w:rsidRPr="00AA5661">
        <w:rPr>
          <w:rFonts w:ascii="Gill Sans MT" w:hAnsi="Gill Sans MT"/>
          <w:sz w:val="24"/>
          <w:szCs w:val="24"/>
        </w:rPr>
        <w:t xml:space="preserve">(in part) </w:t>
      </w:r>
      <w:r w:rsidRPr="00AA5661">
        <w:rPr>
          <w:rFonts w:ascii="Gill Sans MT" w:hAnsi="Gill Sans MT"/>
          <w:sz w:val="24"/>
          <w:szCs w:val="24"/>
        </w:rPr>
        <w:t xml:space="preserve">requires the Minister to cause a review of the operation of section 27 to be undertaken and completed as soon as practicable after three years </w:t>
      </w:r>
      <w:r w:rsidR="00287188">
        <w:rPr>
          <w:rFonts w:ascii="Gill Sans MT" w:hAnsi="Gill Sans MT"/>
          <w:sz w:val="24"/>
          <w:szCs w:val="24"/>
        </w:rPr>
        <w:t>from</w:t>
      </w:r>
      <w:r w:rsidRPr="00AA5661">
        <w:rPr>
          <w:rFonts w:ascii="Gill Sans MT" w:hAnsi="Gill Sans MT"/>
          <w:sz w:val="24"/>
          <w:szCs w:val="24"/>
        </w:rPr>
        <w:t xml:space="preserve"> the completion of the previous review </w:t>
      </w:r>
      <w:r w:rsidR="00287188">
        <w:rPr>
          <w:rFonts w:ascii="Gill Sans MT" w:hAnsi="Gill Sans MT"/>
          <w:sz w:val="24"/>
          <w:szCs w:val="24"/>
        </w:rPr>
        <w:t>(except in the case of the first review which had to be undertaken after 12 months)</w:t>
      </w:r>
      <w:r w:rsidRPr="00AA5661">
        <w:rPr>
          <w:rFonts w:ascii="Gill Sans MT" w:hAnsi="Gill Sans MT"/>
          <w:sz w:val="24"/>
          <w:szCs w:val="24"/>
        </w:rPr>
        <w:t xml:space="preserve">.  </w:t>
      </w:r>
      <w:r w:rsidR="007C3965" w:rsidRPr="00AA5661">
        <w:rPr>
          <w:rFonts w:ascii="Gill Sans MT" w:hAnsi="Gill Sans MT" w:cstheme="minorHAnsi"/>
          <w:sz w:val="24"/>
          <w:szCs w:val="24"/>
        </w:rPr>
        <w:t xml:space="preserve">The written report of each review must be laid before each House of Parliament.  </w:t>
      </w:r>
    </w:p>
    <w:p w:rsidR="00B41207" w:rsidRPr="00AA5661" w:rsidRDefault="00B41207" w:rsidP="00B41207">
      <w:pPr>
        <w:rPr>
          <w:rFonts w:ascii="Gill Sans MT" w:hAnsi="Gill Sans MT"/>
          <w:sz w:val="24"/>
          <w:szCs w:val="24"/>
        </w:rPr>
      </w:pPr>
      <w:r w:rsidRPr="00AA5661">
        <w:rPr>
          <w:rFonts w:ascii="Gill Sans MT" w:hAnsi="Gill Sans MT"/>
          <w:sz w:val="24"/>
          <w:szCs w:val="24"/>
        </w:rPr>
        <w:lastRenderedPageBreak/>
        <w:t xml:space="preserve">The most recent review commenced in 2020. It was coordinated by the </w:t>
      </w:r>
      <w:r w:rsidR="007C3965" w:rsidRPr="00AA5661">
        <w:rPr>
          <w:rFonts w:ascii="Gill Sans MT" w:hAnsi="Gill Sans MT"/>
          <w:sz w:val="24"/>
          <w:szCs w:val="24"/>
        </w:rPr>
        <w:t xml:space="preserve">Board </w:t>
      </w:r>
      <w:r w:rsidRPr="00AA5661">
        <w:rPr>
          <w:rFonts w:ascii="Gill Sans MT" w:hAnsi="Gill Sans MT"/>
          <w:sz w:val="24"/>
          <w:szCs w:val="24"/>
        </w:rPr>
        <w:t xml:space="preserve">which engaged its actuaries, </w:t>
      </w:r>
      <w:r w:rsidR="007C3965" w:rsidRPr="00AA5661">
        <w:rPr>
          <w:rFonts w:ascii="Gill Sans MT" w:hAnsi="Gill Sans MT"/>
          <w:sz w:val="24"/>
          <w:szCs w:val="24"/>
        </w:rPr>
        <w:t>PricewaterhouseCoopers (PwC)</w:t>
      </w:r>
      <w:r w:rsidRPr="00AA5661">
        <w:rPr>
          <w:rFonts w:ascii="Gill Sans MT" w:hAnsi="Gill Sans MT"/>
          <w:sz w:val="24"/>
          <w:szCs w:val="24"/>
        </w:rPr>
        <w:t xml:space="preserve"> to undertake the review.</w:t>
      </w:r>
    </w:p>
    <w:p w:rsidR="007C3965" w:rsidRPr="00AA5661" w:rsidRDefault="00287188" w:rsidP="007C3965">
      <w:pPr>
        <w:rPr>
          <w:rFonts w:ascii="Gill Sans MT" w:hAnsi="Gill Sans MT" w:cstheme="minorHAnsi"/>
          <w:sz w:val="24"/>
          <w:szCs w:val="24"/>
        </w:rPr>
      </w:pPr>
      <w:r>
        <w:rPr>
          <w:rFonts w:ascii="Gill Sans MT" w:hAnsi="Gill Sans MT"/>
          <w:sz w:val="24"/>
          <w:szCs w:val="24"/>
        </w:rPr>
        <w:t>Also in 202</w:t>
      </w:r>
      <w:r w:rsidR="007C3965" w:rsidRPr="00AA5661">
        <w:rPr>
          <w:rFonts w:ascii="Gill Sans MT" w:hAnsi="Gill Sans MT"/>
          <w:sz w:val="24"/>
          <w:szCs w:val="24"/>
        </w:rPr>
        <w:t xml:space="preserve">0, </w:t>
      </w:r>
      <w:r w:rsidR="007C3965" w:rsidRPr="00AA5661">
        <w:rPr>
          <w:rFonts w:ascii="Gill Sans MT" w:hAnsi="Gill Sans MT" w:cstheme="minorHAnsi"/>
          <w:sz w:val="24"/>
          <w:szCs w:val="24"/>
        </w:rPr>
        <w:t>the Department of Police</w:t>
      </w:r>
      <w:r w:rsidR="00BA6F00">
        <w:rPr>
          <w:rFonts w:ascii="Gill Sans MT" w:hAnsi="Gill Sans MT" w:cstheme="minorHAnsi"/>
          <w:sz w:val="24"/>
          <w:szCs w:val="24"/>
        </w:rPr>
        <w:t>,</w:t>
      </w:r>
      <w:r w:rsidR="007C3965" w:rsidRPr="00AA5661">
        <w:rPr>
          <w:rFonts w:ascii="Gill Sans MT" w:hAnsi="Gill Sans MT" w:cstheme="minorHAnsi"/>
          <w:sz w:val="24"/>
          <w:szCs w:val="24"/>
        </w:rPr>
        <w:t xml:space="preserve"> Fire and Emergency Management</w:t>
      </w:r>
      <w:r w:rsidR="00504846" w:rsidRPr="00AA5661">
        <w:rPr>
          <w:rFonts w:ascii="Gill Sans MT" w:hAnsi="Gill Sans MT" w:cstheme="minorHAnsi"/>
          <w:sz w:val="24"/>
          <w:szCs w:val="24"/>
        </w:rPr>
        <w:t xml:space="preserve"> (DPFEM)</w:t>
      </w:r>
      <w:r w:rsidR="007C3965" w:rsidRPr="00AA5661">
        <w:rPr>
          <w:rFonts w:ascii="Gill Sans MT" w:hAnsi="Gill Sans MT" w:cstheme="minorHAnsi"/>
          <w:sz w:val="24"/>
          <w:szCs w:val="24"/>
        </w:rPr>
        <w:t xml:space="preserve"> advised the Department of Justice that none of the three categories of fire-fighters described in section 27 of the Act covers firefighters employed in the Bushfire Risk Unit of the Tasmania Fire Service (TSF).  These workers perform similar tasks and are exposed to similar risks to other fire-fighters covered under section 27.</w:t>
      </w:r>
    </w:p>
    <w:p w:rsidR="007C3965" w:rsidRPr="00AA5661" w:rsidRDefault="007C3965" w:rsidP="007C3965">
      <w:pPr>
        <w:rPr>
          <w:rFonts w:ascii="Gill Sans MT" w:hAnsi="Gill Sans MT"/>
          <w:sz w:val="24"/>
          <w:szCs w:val="24"/>
        </w:rPr>
      </w:pPr>
      <w:r w:rsidRPr="00AA5661">
        <w:rPr>
          <w:rFonts w:ascii="Gill Sans MT" w:hAnsi="Gill Sans MT"/>
          <w:sz w:val="24"/>
          <w:szCs w:val="24"/>
        </w:rPr>
        <w:t xml:space="preserve">Most of these workers are employees under the Tasmanian State Service Award and do not meet the definition of ‘fire-fighter’ in s.27 because they </w:t>
      </w:r>
      <w:r w:rsidR="00287188">
        <w:rPr>
          <w:rFonts w:ascii="Gill Sans MT" w:hAnsi="Gill Sans MT"/>
          <w:sz w:val="24"/>
          <w:szCs w:val="24"/>
        </w:rPr>
        <w:t>do not meet any of the specific definitions of</w:t>
      </w:r>
      <w:r w:rsidRPr="00AA5661">
        <w:rPr>
          <w:rFonts w:ascii="Gill Sans MT" w:hAnsi="Gill Sans MT"/>
          <w:sz w:val="24"/>
          <w:szCs w:val="24"/>
        </w:rPr>
        <w:t xml:space="preserve"> ‘volunteer fire-fighters’, ‘career fire-fighters’ or ‘occupational fire fighters’ (each of which is also defined in s.27).</w:t>
      </w:r>
    </w:p>
    <w:p w:rsidR="007C3965" w:rsidRPr="00AA5661" w:rsidRDefault="007C3965" w:rsidP="007C3965">
      <w:pPr>
        <w:rPr>
          <w:rFonts w:ascii="Gill Sans MT" w:hAnsi="Gill Sans MT" w:cstheme="minorHAnsi"/>
          <w:sz w:val="24"/>
          <w:szCs w:val="24"/>
        </w:rPr>
      </w:pPr>
      <w:r w:rsidRPr="00AA5661">
        <w:rPr>
          <w:rFonts w:ascii="Gill Sans MT" w:hAnsi="Gill Sans MT" w:cstheme="minorHAnsi"/>
          <w:sz w:val="24"/>
          <w:szCs w:val="24"/>
        </w:rPr>
        <w:t xml:space="preserve">In setting out the focus of the 2020 review, the Attorney General and then Minister for Building and Construction instructed the WCTB that it should include </w:t>
      </w:r>
      <w:r w:rsidRPr="00AA5661">
        <w:rPr>
          <w:rFonts w:ascii="Gill Sans MT" w:hAnsi="Gill Sans MT" w:cstheme="minorHAnsi"/>
          <w:iCs/>
          <w:sz w:val="24"/>
          <w:szCs w:val="24"/>
        </w:rPr>
        <w:t>an assessment of the cost of covering relevant employees of the Bushfire Risk Unit of the TFS under the provisions of section 27.</w:t>
      </w:r>
    </w:p>
    <w:p w:rsidR="00B05E6F" w:rsidRPr="00AA5661" w:rsidRDefault="00B05E6F" w:rsidP="00B05E6F">
      <w:pPr>
        <w:rPr>
          <w:rFonts w:ascii="Gill Sans MT" w:hAnsi="Gill Sans MT"/>
          <w:b/>
          <w:sz w:val="24"/>
          <w:szCs w:val="24"/>
        </w:rPr>
      </w:pPr>
      <w:r w:rsidRPr="00AA5661">
        <w:rPr>
          <w:rFonts w:ascii="Gill Sans MT" w:hAnsi="Gill Sans MT"/>
          <w:b/>
          <w:sz w:val="24"/>
          <w:szCs w:val="24"/>
        </w:rPr>
        <w:t>The Board’s findings and recommendations</w:t>
      </w:r>
    </w:p>
    <w:p w:rsidR="003E616D" w:rsidRDefault="007C3965" w:rsidP="00A36168">
      <w:pPr>
        <w:pStyle w:val="Paragraph"/>
        <w:rPr>
          <w:rFonts w:ascii="Gill Sans MT" w:hAnsi="Gill Sans MT" w:cs="Arial"/>
          <w:sz w:val="24"/>
          <w:szCs w:val="24"/>
        </w:rPr>
      </w:pPr>
      <w:r w:rsidRPr="00AA5661">
        <w:rPr>
          <w:rFonts w:ascii="Gill Sans MT" w:hAnsi="Gill Sans MT" w:cs="Arial"/>
          <w:sz w:val="24"/>
          <w:szCs w:val="24"/>
        </w:rPr>
        <w:t xml:space="preserve">The Board’s advice and PwC findings were tabled in the House of Assembly on 22 June 2021 and the Legislative Council on 29 June 2021.  </w:t>
      </w:r>
      <w:r w:rsidR="00A36168">
        <w:rPr>
          <w:rFonts w:ascii="Gill Sans MT" w:hAnsi="Gill Sans MT" w:cs="Arial"/>
          <w:sz w:val="24"/>
          <w:szCs w:val="24"/>
        </w:rPr>
        <w:t xml:space="preserve">The findings are available </w:t>
      </w:r>
      <w:hyperlink r:id="rId7" w:history="1">
        <w:r w:rsidRPr="00AA5661">
          <w:rPr>
            <w:rStyle w:val="Hyperlink"/>
            <w:rFonts w:ascii="Gill Sans MT" w:hAnsi="Gill Sans MT" w:cs="Arial"/>
            <w:sz w:val="24"/>
            <w:szCs w:val="24"/>
          </w:rPr>
          <w:t>he</w:t>
        </w:r>
        <w:r w:rsidRPr="00AA5661">
          <w:rPr>
            <w:rStyle w:val="Hyperlink"/>
            <w:rFonts w:ascii="Gill Sans MT" w:hAnsi="Gill Sans MT" w:cs="Arial"/>
            <w:sz w:val="24"/>
            <w:szCs w:val="24"/>
          </w:rPr>
          <w:t>re</w:t>
        </w:r>
      </w:hyperlink>
      <w:r w:rsidRPr="00AA5661">
        <w:rPr>
          <w:rFonts w:ascii="Gill Sans MT" w:hAnsi="Gill Sans MT" w:cs="Arial"/>
          <w:sz w:val="24"/>
          <w:szCs w:val="24"/>
        </w:rPr>
        <w:t xml:space="preserve">.  The </w:t>
      </w:r>
      <w:r w:rsidR="008E2560">
        <w:rPr>
          <w:rFonts w:ascii="Gill Sans MT" w:hAnsi="Gill Sans MT" w:cs="Arial"/>
          <w:sz w:val="24"/>
          <w:szCs w:val="24"/>
        </w:rPr>
        <w:t>Board made the following recommendation:</w:t>
      </w:r>
    </w:p>
    <w:p w:rsidR="007C3965" w:rsidRPr="00AA5661" w:rsidRDefault="007C3965" w:rsidP="008E2560">
      <w:pPr>
        <w:pStyle w:val="Paragraph"/>
        <w:ind w:left="284" w:right="237"/>
        <w:rPr>
          <w:rFonts w:ascii="Gill Sans MT" w:hAnsi="Gill Sans MT"/>
          <w:sz w:val="24"/>
          <w:szCs w:val="24"/>
        </w:rPr>
      </w:pPr>
      <w:r w:rsidRPr="00AA5661">
        <w:rPr>
          <w:rFonts w:ascii="Gill Sans MT" w:hAnsi="Gill Sans MT"/>
          <w:sz w:val="24"/>
          <w:szCs w:val="24"/>
        </w:rPr>
        <w:t xml:space="preserve">Section 27 does not cover employees or members of the Bushfire Risk Unit. Members of this unit perform fire prevention as well as firefighting operations during the fire season. Members are not recognised under section 27, which only applies to fire-fighters, defined by the Act as ‘career fire-fighters’, ‘volunteer fire-fighters’ and occupational fire-fighters’.  </w:t>
      </w:r>
    </w:p>
    <w:p w:rsidR="007C3965" w:rsidRPr="00AA5661" w:rsidRDefault="007C3965" w:rsidP="008E2560">
      <w:pPr>
        <w:pStyle w:val="Paragraph"/>
        <w:ind w:left="284" w:right="237"/>
        <w:rPr>
          <w:rFonts w:ascii="Gill Sans MT" w:hAnsi="Gill Sans MT"/>
          <w:sz w:val="24"/>
          <w:szCs w:val="24"/>
        </w:rPr>
      </w:pPr>
      <w:r w:rsidRPr="00AA5661">
        <w:rPr>
          <w:rFonts w:ascii="Gill Sans MT" w:hAnsi="Gill Sans MT"/>
          <w:sz w:val="24"/>
          <w:szCs w:val="24"/>
        </w:rPr>
        <w:t xml:space="preserve">There are 52 employees in the Bushfire Risk Unit, 6 of whom are already covered by the current legislation. PwC estimated the cost of covering employees in the Bushfire Risk Unit under section 27 to be an additional $53K per annum, representing an additional 9% of the estimated cost for paid firefighters. PwC noted, however, that the actual experience may be significantly different. Given the estimated small cost and that members of the Bushfire Risk Unit perform similar tasks and are exposed to similar risks to firefighters, section 27 should be amended to include members of the Unit. The Board’s advice is that this would be consistent with the objects of the Act prescribed by section 2A, including providing fair and appropriate compensation to workers and a fair, affordable, efficient and effective rehabilitation and compensation scheme. </w:t>
      </w:r>
    </w:p>
    <w:p w:rsidR="007C3965" w:rsidRPr="00AA5661" w:rsidRDefault="007C3965" w:rsidP="008E2560">
      <w:pPr>
        <w:pStyle w:val="Paragraph"/>
        <w:ind w:left="284" w:right="237"/>
        <w:rPr>
          <w:rFonts w:ascii="Gill Sans MT" w:hAnsi="Gill Sans MT"/>
          <w:sz w:val="24"/>
          <w:szCs w:val="24"/>
        </w:rPr>
      </w:pPr>
      <w:r w:rsidRPr="00AA5661">
        <w:rPr>
          <w:rFonts w:ascii="Gill Sans MT" w:hAnsi="Gill Sans MT"/>
          <w:sz w:val="24"/>
          <w:szCs w:val="24"/>
        </w:rPr>
        <w:t>The Board recommends that the Act be amended to include coverage of the employees of the Bushfire Risk Unit.</w:t>
      </w:r>
    </w:p>
    <w:p w:rsidR="00B05E6F" w:rsidRPr="00AA5661" w:rsidRDefault="00B05E6F" w:rsidP="00B05E6F">
      <w:pPr>
        <w:rPr>
          <w:rFonts w:ascii="Gill Sans MT" w:hAnsi="Gill Sans MT"/>
          <w:b/>
          <w:sz w:val="24"/>
          <w:szCs w:val="24"/>
        </w:rPr>
      </w:pPr>
      <w:r w:rsidRPr="00AA5661">
        <w:rPr>
          <w:rFonts w:ascii="Gill Sans MT" w:hAnsi="Gill Sans MT"/>
          <w:b/>
          <w:sz w:val="24"/>
          <w:szCs w:val="24"/>
        </w:rPr>
        <w:t>Outcome</w:t>
      </w:r>
    </w:p>
    <w:p w:rsidR="00146A60" w:rsidRPr="00AA5661" w:rsidRDefault="00504846" w:rsidP="00B05E6F">
      <w:pPr>
        <w:rPr>
          <w:rFonts w:ascii="Gill Sans MT" w:hAnsi="Gill Sans MT"/>
          <w:sz w:val="24"/>
          <w:szCs w:val="24"/>
        </w:rPr>
      </w:pPr>
      <w:r w:rsidRPr="00AA5661">
        <w:rPr>
          <w:rFonts w:ascii="Gill Sans MT" w:hAnsi="Gill Sans MT"/>
          <w:sz w:val="24"/>
          <w:szCs w:val="24"/>
        </w:rPr>
        <w:t xml:space="preserve">The Government supports the Board’s recommendation that the Act be amended to cover employees of the Bushfire Risk Unit, who perform similar tasks and are exposed to similar risks to those fire-fighters who are covered.  </w:t>
      </w:r>
    </w:p>
    <w:p w:rsidR="00504846" w:rsidRPr="00AA5661" w:rsidRDefault="00504846" w:rsidP="00B05E6F">
      <w:pPr>
        <w:rPr>
          <w:rFonts w:ascii="Gill Sans MT" w:hAnsi="Gill Sans MT"/>
          <w:sz w:val="24"/>
          <w:szCs w:val="24"/>
        </w:rPr>
      </w:pPr>
      <w:r w:rsidRPr="00AA5661">
        <w:rPr>
          <w:rFonts w:ascii="Gill Sans MT" w:hAnsi="Gill Sans MT"/>
          <w:sz w:val="24"/>
          <w:szCs w:val="24"/>
        </w:rPr>
        <w:lastRenderedPageBreak/>
        <w:t>Coverage would be consistent with the objects of the Act, including providing fair and appropriate compensation to workers and a fair, affordable, efficient and effective rehabilitation and compensation scheme.</w:t>
      </w:r>
    </w:p>
    <w:p w:rsidR="00B33F04" w:rsidRPr="00AA5661" w:rsidRDefault="004278C3" w:rsidP="00B05E6F">
      <w:pPr>
        <w:rPr>
          <w:rFonts w:ascii="Gill Sans MT" w:hAnsi="Gill Sans MT"/>
          <w:b/>
        </w:rPr>
      </w:pPr>
      <w:r>
        <w:rPr>
          <w:rFonts w:ascii="Gill Sans MT" w:hAnsi="Gill Sans MT"/>
          <w:b/>
        </w:rPr>
        <w:t>Consultation</w:t>
      </w:r>
    </w:p>
    <w:p w:rsidR="00146A60" w:rsidRPr="00AA5661" w:rsidRDefault="00B33F04" w:rsidP="00B05E6F">
      <w:pPr>
        <w:rPr>
          <w:rFonts w:ascii="Gill Sans MT" w:hAnsi="Gill Sans MT"/>
          <w:sz w:val="24"/>
          <w:szCs w:val="24"/>
        </w:rPr>
      </w:pPr>
      <w:r w:rsidRPr="00AA5661">
        <w:rPr>
          <w:rFonts w:ascii="Gill Sans MT" w:hAnsi="Gill Sans MT"/>
          <w:sz w:val="24"/>
          <w:szCs w:val="24"/>
        </w:rPr>
        <w:t xml:space="preserve">Key stakeholders were consulted in late 2021 on the proposal to amend </w:t>
      </w:r>
      <w:r w:rsidR="00E33605" w:rsidRPr="00AA5661">
        <w:rPr>
          <w:rFonts w:ascii="Gill Sans MT" w:hAnsi="Gill Sans MT"/>
          <w:sz w:val="24"/>
          <w:szCs w:val="24"/>
        </w:rPr>
        <w:t xml:space="preserve">the definition of occupational fire-fighter to include employees of the Bushfire Risk Unit.  </w:t>
      </w:r>
    </w:p>
    <w:p w:rsidR="00B33F04" w:rsidRPr="00AA5661" w:rsidRDefault="00E33605" w:rsidP="00B05E6F">
      <w:pPr>
        <w:rPr>
          <w:rFonts w:ascii="Gill Sans MT" w:hAnsi="Gill Sans MT"/>
          <w:sz w:val="24"/>
          <w:szCs w:val="24"/>
        </w:rPr>
      </w:pPr>
      <w:r w:rsidRPr="00AA5661">
        <w:rPr>
          <w:rFonts w:ascii="Gill Sans MT" w:hAnsi="Gill Sans MT"/>
          <w:sz w:val="24"/>
          <w:szCs w:val="24"/>
        </w:rPr>
        <w:t>Some stakeholders submitted that such workers are already covered by the existing definition</w:t>
      </w:r>
      <w:r w:rsidR="00DF229A">
        <w:rPr>
          <w:rFonts w:ascii="Gill Sans MT" w:hAnsi="Gill Sans MT"/>
          <w:sz w:val="24"/>
          <w:szCs w:val="24"/>
        </w:rPr>
        <w:t xml:space="preserve"> of a career fire-fighter</w:t>
      </w:r>
      <w:r w:rsidR="00146A60" w:rsidRPr="00AA5661">
        <w:rPr>
          <w:rFonts w:ascii="Gill Sans MT" w:hAnsi="Gill Sans MT"/>
          <w:sz w:val="24"/>
          <w:szCs w:val="24"/>
        </w:rPr>
        <w:t xml:space="preserve">; however, </w:t>
      </w:r>
      <w:r w:rsidRPr="00AA5661">
        <w:rPr>
          <w:rFonts w:ascii="Gill Sans MT" w:hAnsi="Gill Sans MT"/>
          <w:sz w:val="24"/>
          <w:szCs w:val="24"/>
        </w:rPr>
        <w:t>the Government considers they are excluded on the basis that DPFEM does not have a significant role in the management</w:t>
      </w:r>
      <w:r w:rsidR="00146A60" w:rsidRPr="00AA5661">
        <w:rPr>
          <w:rFonts w:ascii="Gill Sans MT" w:hAnsi="Gill Sans MT"/>
          <w:sz w:val="24"/>
          <w:szCs w:val="24"/>
        </w:rPr>
        <w:t xml:space="preserve"> of forests or parks.</w:t>
      </w:r>
    </w:p>
    <w:p w:rsidR="00B05E6F" w:rsidRPr="00AA5661" w:rsidRDefault="00B05E6F">
      <w:pPr>
        <w:rPr>
          <w:rFonts w:ascii="Gill Sans MT" w:hAnsi="Gill Sans MT"/>
          <w:b/>
          <w:sz w:val="24"/>
          <w:szCs w:val="24"/>
        </w:rPr>
      </w:pPr>
      <w:r w:rsidRPr="00AA5661">
        <w:rPr>
          <w:rFonts w:ascii="Gill Sans MT" w:hAnsi="Gill Sans MT"/>
          <w:b/>
          <w:sz w:val="24"/>
          <w:szCs w:val="24"/>
        </w:rPr>
        <w:t>The Bill</w:t>
      </w:r>
    </w:p>
    <w:p w:rsidR="00F1433D" w:rsidRPr="00AA5661" w:rsidRDefault="00B33F04">
      <w:pPr>
        <w:rPr>
          <w:rFonts w:ascii="Gill Sans MT" w:hAnsi="Gill Sans MT"/>
          <w:sz w:val="24"/>
          <w:szCs w:val="24"/>
        </w:rPr>
      </w:pPr>
      <w:r w:rsidRPr="00AA5661">
        <w:rPr>
          <w:rFonts w:ascii="Gill Sans MT" w:hAnsi="Gill Sans MT"/>
          <w:sz w:val="24"/>
          <w:szCs w:val="24"/>
        </w:rPr>
        <w:t xml:space="preserve">Clause 4 of the Draft Bill sets out the proposed changes to section 27 of the Act.  The major change is the substitution of the existing definition of occupational-fire fighter with a new definition that </w:t>
      </w:r>
      <w:r w:rsidR="00146A60" w:rsidRPr="00AA5661">
        <w:rPr>
          <w:rFonts w:ascii="Gill Sans MT" w:hAnsi="Gill Sans MT"/>
          <w:sz w:val="24"/>
          <w:szCs w:val="24"/>
        </w:rPr>
        <w:t xml:space="preserve">will include coverage of </w:t>
      </w:r>
      <w:r w:rsidRPr="00AA5661">
        <w:rPr>
          <w:rFonts w:ascii="Gill Sans MT" w:hAnsi="Gill Sans MT"/>
          <w:sz w:val="24"/>
          <w:szCs w:val="24"/>
        </w:rPr>
        <w:t xml:space="preserve">employees </w:t>
      </w:r>
      <w:r w:rsidR="00146A60" w:rsidRPr="00AA5661">
        <w:rPr>
          <w:rFonts w:ascii="Gill Sans MT" w:hAnsi="Gill Sans MT"/>
          <w:sz w:val="24"/>
          <w:szCs w:val="24"/>
        </w:rPr>
        <w:t>of the Bushfire Risk Unit who undertake fire-fighting operations.</w:t>
      </w:r>
    </w:p>
    <w:p w:rsidR="00146A60" w:rsidRPr="00AA5661" w:rsidRDefault="00146A60">
      <w:pPr>
        <w:rPr>
          <w:rFonts w:ascii="Gill Sans MT" w:hAnsi="Gill Sans MT"/>
          <w:sz w:val="24"/>
          <w:szCs w:val="24"/>
        </w:rPr>
      </w:pPr>
      <w:r w:rsidRPr="00AA5661">
        <w:rPr>
          <w:rFonts w:ascii="Gill Sans MT" w:hAnsi="Gill Sans MT"/>
          <w:sz w:val="24"/>
          <w:szCs w:val="24"/>
        </w:rPr>
        <w:t>Although the intention is to delete and replace the entire definition of occupational-fire fighter, the proposed new provision does not change the status of those workers who are currently covered by the definition.  The substantive change to the definition is to add a new group of employees, who are narrowly described to ensure the definition of does not become broader than intended.</w:t>
      </w:r>
      <w:r w:rsidR="008A27C8">
        <w:rPr>
          <w:rFonts w:ascii="Gill Sans MT" w:hAnsi="Gill Sans MT"/>
          <w:sz w:val="24"/>
          <w:szCs w:val="24"/>
        </w:rPr>
        <w:t xml:space="preserve">  </w:t>
      </w:r>
    </w:p>
    <w:p w:rsidR="00146A60" w:rsidRPr="00AA5661" w:rsidRDefault="00146A60">
      <w:pPr>
        <w:rPr>
          <w:rFonts w:ascii="Gill Sans MT" w:hAnsi="Gill Sans MT"/>
          <w:sz w:val="24"/>
          <w:szCs w:val="24"/>
        </w:rPr>
      </w:pPr>
    </w:p>
    <w:p w:rsidR="00C012E8" w:rsidRPr="00AA5661" w:rsidRDefault="00A36168" w:rsidP="00B05E6F">
      <w:pPr>
        <w:ind w:left="1440" w:hanging="1440"/>
        <w:rPr>
          <w:rFonts w:ascii="Gill Sans MT" w:hAnsi="Gill Sans MT"/>
          <w:b/>
          <w:sz w:val="28"/>
          <w:szCs w:val="28"/>
        </w:rPr>
      </w:pPr>
      <w:r>
        <w:rPr>
          <w:rFonts w:ascii="Gill Sans MT" w:hAnsi="Gill Sans MT"/>
          <w:b/>
          <w:sz w:val="28"/>
          <w:szCs w:val="28"/>
        </w:rPr>
        <w:t xml:space="preserve">Section 87 </w:t>
      </w:r>
      <w:r w:rsidR="00C012E8" w:rsidRPr="00AA5661">
        <w:rPr>
          <w:rFonts w:ascii="Gill Sans MT" w:hAnsi="Gill Sans MT"/>
          <w:b/>
          <w:sz w:val="28"/>
          <w:szCs w:val="28"/>
        </w:rPr>
        <w:t>Entitlements to Compensation for Older Workers</w:t>
      </w:r>
      <w:r w:rsidR="00B05E6F" w:rsidRPr="00AA5661">
        <w:rPr>
          <w:rFonts w:ascii="Gill Sans MT" w:hAnsi="Gill Sans MT"/>
          <w:b/>
          <w:sz w:val="28"/>
          <w:szCs w:val="28"/>
        </w:rPr>
        <w:t xml:space="preserve"> </w:t>
      </w:r>
    </w:p>
    <w:p w:rsidR="0091129A" w:rsidRPr="00AA5661" w:rsidRDefault="0091129A" w:rsidP="0091129A">
      <w:pPr>
        <w:rPr>
          <w:rFonts w:ascii="Gill Sans MT" w:hAnsi="Gill Sans MT"/>
          <w:b/>
          <w:sz w:val="24"/>
          <w:szCs w:val="24"/>
        </w:rPr>
      </w:pPr>
      <w:r w:rsidRPr="00AA5661">
        <w:rPr>
          <w:rFonts w:ascii="Gill Sans MT" w:hAnsi="Gill Sans MT"/>
          <w:b/>
          <w:sz w:val="24"/>
          <w:szCs w:val="24"/>
        </w:rPr>
        <w:t>Background</w:t>
      </w:r>
    </w:p>
    <w:p w:rsidR="0091129A" w:rsidRPr="00AA5661" w:rsidRDefault="0091129A" w:rsidP="0091129A">
      <w:pPr>
        <w:rPr>
          <w:rFonts w:ascii="Gill Sans MT" w:hAnsi="Gill Sans MT"/>
          <w:sz w:val="24"/>
          <w:szCs w:val="24"/>
        </w:rPr>
      </w:pPr>
      <w:r w:rsidRPr="00AA5661">
        <w:rPr>
          <w:rFonts w:ascii="Gill Sans MT" w:hAnsi="Gill Sans MT"/>
          <w:sz w:val="24"/>
          <w:szCs w:val="24"/>
        </w:rPr>
        <w:t xml:space="preserve">Section 87 of the </w:t>
      </w:r>
      <w:r w:rsidR="00CF3E42" w:rsidRPr="00AA5661">
        <w:rPr>
          <w:rFonts w:ascii="Gill Sans MT" w:hAnsi="Gill Sans MT"/>
          <w:i/>
          <w:sz w:val="24"/>
          <w:szCs w:val="24"/>
        </w:rPr>
        <w:t>Workers Rehabilitation and Compensation Act 1988</w:t>
      </w:r>
      <w:r w:rsidR="00CF3E42" w:rsidRPr="00AA5661">
        <w:rPr>
          <w:rFonts w:ascii="Gill Sans MT" w:hAnsi="Gill Sans MT"/>
          <w:sz w:val="24"/>
          <w:szCs w:val="24"/>
        </w:rPr>
        <w:t xml:space="preserve"> (the Act) </w:t>
      </w:r>
      <w:r w:rsidRPr="00AA5661">
        <w:rPr>
          <w:rFonts w:ascii="Gill Sans MT" w:hAnsi="Gill Sans MT"/>
          <w:sz w:val="24"/>
          <w:szCs w:val="24"/>
        </w:rPr>
        <w:t>provides an age-restriction for weekly compensation payments for persons injured at work.</w:t>
      </w:r>
    </w:p>
    <w:p w:rsidR="0091129A" w:rsidRPr="00AA5661" w:rsidRDefault="0091129A" w:rsidP="0091129A">
      <w:pPr>
        <w:rPr>
          <w:rFonts w:ascii="Gill Sans MT" w:hAnsi="Gill Sans MT"/>
          <w:sz w:val="24"/>
          <w:szCs w:val="24"/>
        </w:rPr>
      </w:pPr>
      <w:r w:rsidRPr="00AA5661">
        <w:rPr>
          <w:rFonts w:ascii="Gill Sans MT" w:hAnsi="Gill Sans MT"/>
          <w:sz w:val="24"/>
          <w:szCs w:val="24"/>
        </w:rPr>
        <w:t xml:space="preserve">Prior to 1 January 2018, the age restriction was based on whether the injury, which caused the incapacity to work, occurred: </w:t>
      </w:r>
    </w:p>
    <w:p w:rsidR="0091129A" w:rsidRPr="00AA5661" w:rsidRDefault="0091129A" w:rsidP="0091129A">
      <w:pPr>
        <w:pStyle w:val="ListParagraph"/>
        <w:numPr>
          <w:ilvl w:val="0"/>
          <w:numId w:val="1"/>
        </w:numPr>
        <w:rPr>
          <w:rFonts w:ascii="Gill Sans MT" w:hAnsi="Gill Sans MT"/>
          <w:sz w:val="24"/>
          <w:szCs w:val="24"/>
        </w:rPr>
      </w:pPr>
      <w:r w:rsidRPr="00AA5661">
        <w:rPr>
          <w:rFonts w:ascii="Gill Sans MT" w:hAnsi="Gill Sans MT"/>
          <w:sz w:val="24"/>
          <w:szCs w:val="24"/>
        </w:rPr>
        <w:t xml:space="preserve">on or before the date that the worker turned 64, in which case the entitlement to weekly payments ceased when the injured worker turned 65; or </w:t>
      </w:r>
    </w:p>
    <w:p w:rsidR="0091129A" w:rsidRPr="00AA5661" w:rsidRDefault="0091129A" w:rsidP="0091129A">
      <w:pPr>
        <w:pStyle w:val="ListParagraph"/>
        <w:numPr>
          <w:ilvl w:val="0"/>
          <w:numId w:val="1"/>
        </w:numPr>
        <w:rPr>
          <w:rFonts w:ascii="Gill Sans MT" w:hAnsi="Gill Sans MT"/>
          <w:sz w:val="24"/>
          <w:szCs w:val="24"/>
        </w:rPr>
      </w:pPr>
      <w:proofErr w:type="gramStart"/>
      <w:r w:rsidRPr="00AA5661">
        <w:rPr>
          <w:rFonts w:ascii="Gill Sans MT" w:hAnsi="Gill Sans MT"/>
          <w:sz w:val="24"/>
          <w:szCs w:val="24"/>
        </w:rPr>
        <w:t>after</w:t>
      </w:r>
      <w:proofErr w:type="gramEnd"/>
      <w:r w:rsidRPr="00AA5661">
        <w:rPr>
          <w:rFonts w:ascii="Gill Sans MT" w:hAnsi="Gill Sans MT"/>
          <w:sz w:val="24"/>
          <w:szCs w:val="24"/>
        </w:rPr>
        <w:t xml:space="preserve"> the worker turned 64, in which case in which case the entitlement to weekly payments ceased one year after the date of injury.</w:t>
      </w:r>
    </w:p>
    <w:p w:rsidR="0091129A" w:rsidRPr="00AA5661" w:rsidRDefault="0091129A" w:rsidP="0091129A">
      <w:pPr>
        <w:rPr>
          <w:rFonts w:ascii="Gill Sans MT" w:hAnsi="Gill Sans MT"/>
          <w:sz w:val="24"/>
          <w:szCs w:val="24"/>
        </w:rPr>
      </w:pPr>
      <w:r w:rsidRPr="00AA5661">
        <w:rPr>
          <w:rFonts w:ascii="Gill Sans MT" w:hAnsi="Gill Sans MT"/>
          <w:sz w:val="24"/>
          <w:szCs w:val="24"/>
        </w:rPr>
        <w:t xml:space="preserve">In 2017 Parliament passed amendments to section 87 of the </w:t>
      </w:r>
      <w:r w:rsidR="00CF3E42" w:rsidRPr="00AA5661">
        <w:rPr>
          <w:rFonts w:ascii="Gill Sans MT" w:hAnsi="Gill Sans MT"/>
          <w:sz w:val="24"/>
          <w:szCs w:val="24"/>
        </w:rPr>
        <w:t xml:space="preserve">Act </w:t>
      </w:r>
      <w:r w:rsidRPr="00AA5661">
        <w:rPr>
          <w:rFonts w:ascii="Gill Sans MT" w:hAnsi="Gill Sans MT"/>
          <w:sz w:val="24"/>
          <w:szCs w:val="24"/>
        </w:rPr>
        <w:t>to remove references to the specific ages of 64 and 65, delivering the now current provisions</w:t>
      </w:r>
      <w:r w:rsidR="00CF3E42" w:rsidRPr="00AA5661">
        <w:rPr>
          <w:rFonts w:ascii="Gill Sans MT" w:hAnsi="Gill Sans MT"/>
          <w:sz w:val="24"/>
          <w:szCs w:val="24"/>
        </w:rPr>
        <w:t>, which came into effect on 1 January 2018</w:t>
      </w:r>
      <w:r w:rsidRPr="00AA5661">
        <w:rPr>
          <w:rFonts w:ascii="Gill Sans MT" w:hAnsi="Gill Sans MT"/>
          <w:sz w:val="24"/>
          <w:szCs w:val="24"/>
        </w:rPr>
        <w:t xml:space="preserve">. </w:t>
      </w:r>
    </w:p>
    <w:p w:rsidR="0091129A" w:rsidRPr="00AA5661" w:rsidRDefault="0091129A" w:rsidP="0091129A">
      <w:pPr>
        <w:rPr>
          <w:rFonts w:ascii="Gill Sans MT" w:hAnsi="Gill Sans MT"/>
          <w:sz w:val="24"/>
          <w:szCs w:val="24"/>
        </w:rPr>
      </w:pPr>
      <w:r w:rsidRPr="00AA5661">
        <w:rPr>
          <w:rFonts w:ascii="Gill Sans MT" w:hAnsi="Gill Sans MT"/>
          <w:sz w:val="24"/>
          <w:szCs w:val="24"/>
        </w:rPr>
        <w:t xml:space="preserve">The policy intent of amending the pre-2018 provisions was to remove any gap between </w:t>
      </w:r>
      <w:r w:rsidR="002E1FA8" w:rsidRPr="00AA5661">
        <w:rPr>
          <w:rFonts w:ascii="Gill Sans MT" w:hAnsi="Gill Sans MT"/>
          <w:sz w:val="24"/>
          <w:szCs w:val="24"/>
        </w:rPr>
        <w:t xml:space="preserve">the age when </w:t>
      </w:r>
      <w:r w:rsidRPr="00AA5661">
        <w:rPr>
          <w:rFonts w:ascii="Gill Sans MT" w:hAnsi="Gill Sans MT"/>
          <w:sz w:val="24"/>
          <w:szCs w:val="24"/>
        </w:rPr>
        <w:t xml:space="preserve">worker’s </w:t>
      </w:r>
      <w:r w:rsidR="002E1FA8" w:rsidRPr="00AA5661">
        <w:rPr>
          <w:rFonts w:ascii="Gill Sans MT" w:hAnsi="Gill Sans MT"/>
          <w:sz w:val="24"/>
          <w:szCs w:val="24"/>
        </w:rPr>
        <w:t>week</w:t>
      </w:r>
      <w:r w:rsidR="00BA6F00">
        <w:rPr>
          <w:rFonts w:ascii="Gill Sans MT" w:hAnsi="Gill Sans MT"/>
          <w:sz w:val="24"/>
          <w:szCs w:val="24"/>
        </w:rPr>
        <w:t>ly</w:t>
      </w:r>
      <w:r w:rsidR="002E1FA8" w:rsidRPr="00AA5661">
        <w:rPr>
          <w:rFonts w:ascii="Gill Sans MT" w:hAnsi="Gill Sans MT"/>
          <w:sz w:val="24"/>
          <w:szCs w:val="24"/>
        </w:rPr>
        <w:t xml:space="preserve"> </w:t>
      </w:r>
      <w:r w:rsidRPr="00AA5661">
        <w:rPr>
          <w:rFonts w:ascii="Gill Sans MT" w:hAnsi="Gill Sans MT"/>
          <w:sz w:val="24"/>
          <w:szCs w:val="24"/>
        </w:rPr>
        <w:t xml:space="preserve">compensation </w:t>
      </w:r>
      <w:r w:rsidR="002E1FA8" w:rsidRPr="00AA5661">
        <w:rPr>
          <w:rFonts w:ascii="Gill Sans MT" w:hAnsi="Gill Sans MT"/>
          <w:sz w:val="24"/>
          <w:szCs w:val="24"/>
        </w:rPr>
        <w:t>pay</w:t>
      </w:r>
      <w:r w:rsidRPr="00AA5661">
        <w:rPr>
          <w:rFonts w:ascii="Gill Sans MT" w:hAnsi="Gill Sans MT"/>
          <w:sz w:val="24"/>
          <w:szCs w:val="24"/>
        </w:rPr>
        <w:t>ments</w:t>
      </w:r>
      <w:r w:rsidR="002E1FA8" w:rsidRPr="00AA5661">
        <w:rPr>
          <w:rFonts w:ascii="Gill Sans MT" w:hAnsi="Gill Sans MT"/>
          <w:sz w:val="24"/>
          <w:szCs w:val="24"/>
        </w:rPr>
        <w:t xml:space="preserve"> cease,</w:t>
      </w:r>
      <w:r w:rsidRPr="00AA5661">
        <w:rPr>
          <w:rFonts w:ascii="Gill Sans MT" w:hAnsi="Gill Sans MT"/>
          <w:sz w:val="24"/>
          <w:szCs w:val="24"/>
        </w:rPr>
        <w:t xml:space="preserve"> and the age of entitlement to the age pension. </w:t>
      </w:r>
    </w:p>
    <w:p w:rsidR="00BA232B" w:rsidRPr="00AA5661" w:rsidRDefault="00BA232B">
      <w:pPr>
        <w:rPr>
          <w:rFonts w:ascii="Gill Sans MT" w:hAnsi="Gill Sans MT"/>
          <w:sz w:val="24"/>
          <w:szCs w:val="24"/>
        </w:rPr>
      </w:pPr>
      <w:r w:rsidRPr="00AA5661">
        <w:rPr>
          <w:rFonts w:ascii="Gill Sans MT" w:hAnsi="Gill Sans MT"/>
          <w:sz w:val="24"/>
          <w:szCs w:val="24"/>
        </w:rPr>
        <w:lastRenderedPageBreak/>
        <w:t>Since 1 January 2018, a</w:t>
      </w:r>
      <w:r w:rsidR="009A44D3" w:rsidRPr="00AA5661">
        <w:rPr>
          <w:rFonts w:ascii="Gill Sans MT" w:hAnsi="Gill Sans MT"/>
          <w:sz w:val="24"/>
          <w:szCs w:val="24"/>
        </w:rPr>
        <w:t xml:space="preserve"> person who </w:t>
      </w:r>
      <w:r w:rsidR="00E319C8" w:rsidRPr="00AA5661">
        <w:rPr>
          <w:rFonts w:ascii="Gill Sans MT" w:hAnsi="Gill Sans MT"/>
          <w:sz w:val="24"/>
          <w:szCs w:val="24"/>
        </w:rPr>
        <w:t xml:space="preserve">is injured at work less than 12 months before attaining the pension age is entitled to compensation for loss of earnings for no longer than 12 months from the date of the injury. </w:t>
      </w:r>
    </w:p>
    <w:p w:rsidR="009A44D3" w:rsidRPr="00AA5661" w:rsidRDefault="00E319C8">
      <w:pPr>
        <w:rPr>
          <w:rFonts w:ascii="Gill Sans MT" w:hAnsi="Gill Sans MT"/>
          <w:sz w:val="24"/>
          <w:szCs w:val="24"/>
        </w:rPr>
      </w:pPr>
      <w:r w:rsidRPr="00AA5661">
        <w:rPr>
          <w:rFonts w:ascii="Gill Sans MT" w:hAnsi="Gill Sans MT"/>
          <w:sz w:val="24"/>
          <w:szCs w:val="24"/>
        </w:rPr>
        <w:t xml:space="preserve">If </w:t>
      </w:r>
      <w:r w:rsidR="00BA232B" w:rsidRPr="00AA5661">
        <w:rPr>
          <w:rFonts w:ascii="Gill Sans MT" w:hAnsi="Gill Sans MT"/>
          <w:sz w:val="24"/>
          <w:szCs w:val="24"/>
        </w:rPr>
        <w:t xml:space="preserve">a </w:t>
      </w:r>
      <w:r w:rsidRPr="00AA5661">
        <w:rPr>
          <w:rFonts w:ascii="Gill Sans MT" w:hAnsi="Gill Sans MT"/>
          <w:sz w:val="24"/>
          <w:szCs w:val="24"/>
        </w:rPr>
        <w:t xml:space="preserve">person was injured at work 12 months </w:t>
      </w:r>
      <w:r w:rsidR="00BA232B" w:rsidRPr="00AA5661">
        <w:rPr>
          <w:rFonts w:ascii="Gill Sans MT" w:hAnsi="Gill Sans MT"/>
          <w:sz w:val="24"/>
          <w:szCs w:val="24"/>
        </w:rPr>
        <w:t xml:space="preserve">or more </w:t>
      </w:r>
      <w:r w:rsidRPr="00AA5661">
        <w:rPr>
          <w:rFonts w:ascii="Gill Sans MT" w:hAnsi="Gill Sans MT"/>
          <w:sz w:val="24"/>
          <w:szCs w:val="24"/>
        </w:rPr>
        <w:t>before attaining the pension age, the person’s entitlement to compensation ceases upon that person attaining the pension age.</w:t>
      </w:r>
    </w:p>
    <w:p w:rsidR="00377784" w:rsidRPr="00AA5661" w:rsidRDefault="00377784">
      <w:pPr>
        <w:rPr>
          <w:rFonts w:ascii="Gill Sans MT" w:hAnsi="Gill Sans MT"/>
          <w:sz w:val="24"/>
          <w:szCs w:val="24"/>
        </w:rPr>
      </w:pPr>
      <w:r w:rsidRPr="00AA5661">
        <w:rPr>
          <w:rFonts w:ascii="Gill Sans MT" w:hAnsi="Gill Sans MT"/>
          <w:sz w:val="24"/>
          <w:szCs w:val="24"/>
        </w:rPr>
        <w:t xml:space="preserve">An injured worker who would </w:t>
      </w:r>
      <w:r w:rsidR="002E1FA8" w:rsidRPr="00AA5661">
        <w:rPr>
          <w:rFonts w:ascii="Gill Sans MT" w:hAnsi="Gill Sans MT"/>
          <w:sz w:val="24"/>
          <w:szCs w:val="24"/>
        </w:rPr>
        <w:t xml:space="preserve">(but for his/her injury) have </w:t>
      </w:r>
      <w:r w:rsidRPr="00AA5661">
        <w:rPr>
          <w:rFonts w:ascii="Gill Sans MT" w:hAnsi="Gill Sans MT"/>
          <w:sz w:val="24"/>
          <w:szCs w:val="24"/>
        </w:rPr>
        <w:t>work</w:t>
      </w:r>
      <w:r w:rsidR="00BA232B" w:rsidRPr="00AA5661">
        <w:rPr>
          <w:rFonts w:ascii="Gill Sans MT" w:hAnsi="Gill Sans MT"/>
          <w:sz w:val="24"/>
          <w:szCs w:val="24"/>
        </w:rPr>
        <w:t>ed</w:t>
      </w:r>
      <w:r w:rsidRPr="00AA5661">
        <w:rPr>
          <w:rFonts w:ascii="Gill Sans MT" w:hAnsi="Gill Sans MT"/>
          <w:sz w:val="24"/>
          <w:szCs w:val="24"/>
        </w:rPr>
        <w:t xml:space="preserve"> past his or her pension date may apply to the </w:t>
      </w:r>
      <w:r w:rsidR="00E319C8" w:rsidRPr="00AA5661">
        <w:rPr>
          <w:rFonts w:ascii="Gill Sans MT" w:hAnsi="Gill Sans MT"/>
          <w:color w:val="000000"/>
          <w:sz w:val="24"/>
          <w:szCs w:val="24"/>
          <w:shd w:val="clear" w:color="auto" w:fill="FFFFFF"/>
        </w:rPr>
        <w:t xml:space="preserve">Tasmanian Civil and Administrative </w:t>
      </w:r>
      <w:r w:rsidR="008E2560">
        <w:rPr>
          <w:rFonts w:ascii="Gill Sans MT" w:hAnsi="Gill Sans MT"/>
          <w:color w:val="000000"/>
          <w:sz w:val="24"/>
          <w:szCs w:val="24"/>
          <w:shd w:val="clear" w:color="auto" w:fill="FFFFFF"/>
        </w:rPr>
        <w:t xml:space="preserve">Tribunal (the Tribunal) </w:t>
      </w:r>
      <w:r w:rsidR="00E319C8" w:rsidRPr="00AA5661">
        <w:rPr>
          <w:rFonts w:ascii="Gill Sans MT" w:hAnsi="Gill Sans MT"/>
          <w:sz w:val="24"/>
          <w:szCs w:val="24"/>
        </w:rPr>
        <w:t>for weekly paymen</w:t>
      </w:r>
      <w:r w:rsidR="008024A1" w:rsidRPr="00AA5661">
        <w:rPr>
          <w:rFonts w:ascii="Gill Sans MT" w:hAnsi="Gill Sans MT"/>
          <w:sz w:val="24"/>
          <w:szCs w:val="24"/>
        </w:rPr>
        <w:t>ts to continue past pension age</w:t>
      </w:r>
      <w:r w:rsidR="00E319C8" w:rsidRPr="00AA5661">
        <w:rPr>
          <w:rFonts w:ascii="Gill Sans MT" w:hAnsi="Gill Sans MT"/>
          <w:sz w:val="24"/>
          <w:szCs w:val="24"/>
        </w:rPr>
        <w:t>.</w:t>
      </w:r>
    </w:p>
    <w:p w:rsidR="00E6584E" w:rsidRPr="00AA5661" w:rsidRDefault="00AD5075">
      <w:pPr>
        <w:rPr>
          <w:rFonts w:ascii="Gill Sans MT" w:hAnsi="Gill Sans MT"/>
          <w:b/>
          <w:sz w:val="24"/>
          <w:szCs w:val="24"/>
        </w:rPr>
      </w:pPr>
      <w:r w:rsidRPr="00AA5661">
        <w:rPr>
          <w:rFonts w:ascii="Gill Sans MT" w:hAnsi="Gill Sans MT"/>
          <w:b/>
          <w:sz w:val="24"/>
          <w:szCs w:val="24"/>
        </w:rPr>
        <w:t>Review of section 87</w:t>
      </w:r>
    </w:p>
    <w:p w:rsidR="0091129A" w:rsidRPr="00AA5661" w:rsidRDefault="0091129A" w:rsidP="0091129A">
      <w:pPr>
        <w:rPr>
          <w:rFonts w:ascii="Gill Sans MT" w:hAnsi="Gill Sans MT"/>
          <w:sz w:val="24"/>
          <w:szCs w:val="24"/>
        </w:rPr>
      </w:pPr>
      <w:r w:rsidRPr="00AA5661">
        <w:rPr>
          <w:rFonts w:ascii="Gill Sans MT" w:hAnsi="Gill Sans MT"/>
          <w:sz w:val="24"/>
          <w:szCs w:val="24"/>
        </w:rPr>
        <w:t>Because</w:t>
      </w:r>
      <w:r w:rsidR="00CD0594" w:rsidRPr="00AA5661">
        <w:rPr>
          <w:rFonts w:ascii="Gill Sans MT" w:hAnsi="Gill Sans MT"/>
          <w:sz w:val="24"/>
          <w:szCs w:val="24"/>
        </w:rPr>
        <w:t xml:space="preserve"> older injured workers may be treated differently to younger workers, depending on whether the former have reached their pension age, and when the injury occurred in relation to that age, </w:t>
      </w:r>
      <w:r w:rsidRPr="00AA5661">
        <w:rPr>
          <w:rFonts w:ascii="Gill Sans MT" w:hAnsi="Gill Sans MT"/>
          <w:sz w:val="24"/>
          <w:szCs w:val="24"/>
        </w:rPr>
        <w:t xml:space="preserve">section 87 of the Act has been criticised </w:t>
      </w:r>
      <w:r w:rsidR="00BA232B" w:rsidRPr="00AA5661">
        <w:rPr>
          <w:rFonts w:ascii="Gill Sans MT" w:hAnsi="Gill Sans MT"/>
          <w:sz w:val="24"/>
          <w:szCs w:val="24"/>
        </w:rPr>
        <w:t>for being</w:t>
      </w:r>
      <w:r w:rsidRPr="00AA5661">
        <w:rPr>
          <w:rFonts w:ascii="Gill Sans MT" w:hAnsi="Gill Sans MT"/>
          <w:sz w:val="24"/>
          <w:szCs w:val="24"/>
        </w:rPr>
        <w:t xml:space="preserve"> age-discriminatory. </w:t>
      </w:r>
    </w:p>
    <w:p w:rsidR="0091129A" w:rsidRPr="00AA5661" w:rsidRDefault="0091129A" w:rsidP="0091129A">
      <w:pPr>
        <w:rPr>
          <w:rFonts w:ascii="Gill Sans MT" w:hAnsi="Gill Sans MT"/>
          <w:sz w:val="24"/>
          <w:szCs w:val="24"/>
        </w:rPr>
      </w:pPr>
      <w:r w:rsidRPr="00AA5661">
        <w:rPr>
          <w:rFonts w:ascii="Gill Sans MT" w:hAnsi="Gill Sans MT"/>
          <w:sz w:val="24"/>
          <w:szCs w:val="24"/>
        </w:rPr>
        <w:t xml:space="preserve">Section 87(1) directly restricts compensation payments for those who are of pension age or within 12 months of the pension age. Whilst section 87(2) &amp; (3) of the Act provide a safeguard for the worker to receive payments beyond the pension age, the worker bears the onus of satisfying the Tribunal of the statutory test. Therefore this safeguard has also been labelled as age-discriminatory. </w:t>
      </w:r>
    </w:p>
    <w:p w:rsidR="00AD5075" w:rsidRPr="00AA5661" w:rsidRDefault="001F65A6" w:rsidP="00AD5075">
      <w:pPr>
        <w:rPr>
          <w:rFonts w:ascii="Gill Sans MT" w:hAnsi="Gill Sans MT"/>
          <w:sz w:val="24"/>
          <w:szCs w:val="24"/>
        </w:rPr>
      </w:pPr>
      <w:r w:rsidRPr="00AA5661">
        <w:rPr>
          <w:rFonts w:ascii="Gill Sans MT" w:hAnsi="Gill Sans MT"/>
          <w:sz w:val="24"/>
          <w:szCs w:val="24"/>
        </w:rPr>
        <w:t>In 2017, d</w:t>
      </w:r>
      <w:r w:rsidR="00AD5075" w:rsidRPr="00AA5661">
        <w:rPr>
          <w:rFonts w:ascii="Gill Sans MT" w:hAnsi="Gill Sans MT"/>
          <w:sz w:val="24"/>
          <w:szCs w:val="24"/>
        </w:rPr>
        <w:t xml:space="preserve">uring Parliamentary consideration of the </w:t>
      </w:r>
      <w:r w:rsidRPr="00AA5661">
        <w:rPr>
          <w:rFonts w:ascii="Gill Sans MT" w:hAnsi="Gill Sans MT"/>
          <w:sz w:val="24"/>
          <w:szCs w:val="24"/>
        </w:rPr>
        <w:t>then proposed</w:t>
      </w:r>
      <w:r w:rsidR="00AD5075" w:rsidRPr="00AA5661">
        <w:rPr>
          <w:rFonts w:ascii="Gill Sans MT" w:hAnsi="Gill Sans MT"/>
          <w:sz w:val="24"/>
          <w:szCs w:val="24"/>
        </w:rPr>
        <w:t xml:space="preserve"> amendments</w:t>
      </w:r>
      <w:r w:rsidRPr="00AA5661">
        <w:rPr>
          <w:rFonts w:ascii="Gill Sans MT" w:hAnsi="Gill Sans MT"/>
          <w:sz w:val="24"/>
          <w:szCs w:val="24"/>
        </w:rPr>
        <w:t xml:space="preserve"> to section 87</w:t>
      </w:r>
      <w:r w:rsidR="00AD5075" w:rsidRPr="00AA5661">
        <w:rPr>
          <w:rFonts w:ascii="Gill Sans MT" w:hAnsi="Gill Sans MT"/>
          <w:sz w:val="24"/>
          <w:szCs w:val="24"/>
        </w:rPr>
        <w:t>, Parliament received representations from the Council on the Ageing Tasmania (COTA) that age restrictions should be removed from the Act completely, or alternatively, that the age based restrictions for workers approaching the pension age be relaxed.  These proposals went beyond the scope of the intended reform, and the then Minister for Building and Construction responded to those repres</w:t>
      </w:r>
      <w:r w:rsidR="002E1FA8" w:rsidRPr="00AA5661">
        <w:rPr>
          <w:rFonts w:ascii="Gill Sans MT" w:hAnsi="Gill Sans MT"/>
          <w:sz w:val="24"/>
          <w:szCs w:val="24"/>
        </w:rPr>
        <w:t>entations by making a commitment</w:t>
      </w:r>
      <w:r w:rsidR="00AD5075" w:rsidRPr="00AA5661">
        <w:rPr>
          <w:rFonts w:ascii="Gill Sans MT" w:hAnsi="Gill Sans MT"/>
          <w:sz w:val="24"/>
          <w:szCs w:val="24"/>
        </w:rPr>
        <w:t xml:space="preserve"> to a review of section 87 within the next 2 years.</w:t>
      </w:r>
    </w:p>
    <w:p w:rsidR="00AD5075" w:rsidRPr="00AA5661" w:rsidRDefault="00AD5075" w:rsidP="00AD5075">
      <w:pPr>
        <w:rPr>
          <w:rFonts w:ascii="Gill Sans MT" w:hAnsi="Gill Sans MT"/>
          <w:sz w:val="24"/>
          <w:szCs w:val="24"/>
        </w:rPr>
      </w:pPr>
      <w:r w:rsidRPr="00AA5661">
        <w:rPr>
          <w:rFonts w:ascii="Gill Sans MT" w:hAnsi="Gill Sans MT"/>
          <w:sz w:val="24"/>
          <w:szCs w:val="24"/>
        </w:rPr>
        <w:t xml:space="preserve">On 31 October 2018, </w:t>
      </w:r>
      <w:r w:rsidR="003561AA" w:rsidRPr="00AA5661">
        <w:rPr>
          <w:rFonts w:ascii="Gill Sans MT" w:hAnsi="Gill Sans MT"/>
          <w:sz w:val="24"/>
          <w:szCs w:val="24"/>
        </w:rPr>
        <w:t>the</w:t>
      </w:r>
      <w:r w:rsidR="0091129A" w:rsidRPr="00AA5661">
        <w:rPr>
          <w:rFonts w:ascii="Gill Sans MT" w:hAnsi="Gill Sans MT"/>
          <w:sz w:val="24"/>
          <w:szCs w:val="24"/>
        </w:rPr>
        <w:t xml:space="preserve"> the</w:t>
      </w:r>
      <w:r w:rsidR="003561AA" w:rsidRPr="00AA5661">
        <w:rPr>
          <w:rFonts w:ascii="Gill Sans MT" w:hAnsi="Gill Sans MT"/>
          <w:sz w:val="24"/>
          <w:szCs w:val="24"/>
        </w:rPr>
        <w:t>n Minister</w:t>
      </w:r>
      <w:r w:rsidRPr="00AA5661">
        <w:rPr>
          <w:rFonts w:ascii="Gill Sans MT" w:hAnsi="Gill Sans MT"/>
          <w:sz w:val="24"/>
          <w:szCs w:val="24"/>
        </w:rPr>
        <w:t xml:space="preserve"> referred the matter to the WorkCover Tasmania Board (the </w:t>
      </w:r>
      <w:r w:rsidR="005753E7" w:rsidRPr="00AA5661">
        <w:rPr>
          <w:rFonts w:ascii="Gill Sans MT" w:hAnsi="Gill Sans MT"/>
          <w:sz w:val="24"/>
          <w:szCs w:val="24"/>
        </w:rPr>
        <w:t>Board</w:t>
      </w:r>
      <w:r w:rsidRPr="00AA5661">
        <w:rPr>
          <w:rFonts w:ascii="Gill Sans MT" w:hAnsi="Gill Sans MT"/>
          <w:sz w:val="24"/>
          <w:szCs w:val="24"/>
        </w:rPr>
        <w:t>) for analysis, consultation and advice.</w:t>
      </w:r>
    </w:p>
    <w:p w:rsidR="00BA232B" w:rsidRPr="00AA5661" w:rsidRDefault="00BA232B" w:rsidP="00AD5075">
      <w:pPr>
        <w:rPr>
          <w:rFonts w:ascii="Gill Sans MT" w:hAnsi="Gill Sans MT"/>
          <w:i/>
          <w:sz w:val="24"/>
          <w:szCs w:val="24"/>
          <w:u w:val="single"/>
        </w:rPr>
      </w:pPr>
      <w:r w:rsidRPr="00AA5661">
        <w:rPr>
          <w:rFonts w:ascii="Gill Sans MT" w:hAnsi="Gill Sans MT"/>
          <w:i/>
          <w:sz w:val="24"/>
          <w:szCs w:val="24"/>
          <w:u w:val="single"/>
        </w:rPr>
        <w:t xml:space="preserve">Consultation </w:t>
      </w:r>
      <w:r w:rsidR="00C531C8" w:rsidRPr="00AA5661">
        <w:rPr>
          <w:rFonts w:ascii="Gill Sans MT" w:hAnsi="Gill Sans MT"/>
          <w:i/>
          <w:sz w:val="24"/>
          <w:szCs w:val="24"/>
          <w:u w:val="single"/>
        </w:rPr>
        <w:t>and stakeholder views</w:t>
      </w:r>
    </w:p>
    <w:p w:rsidR="00BA232B" w:rsidRPr="00AA5661" w:rsidRDefault="00BA232B" w:rsidP="00AD5075">
      <w:pPr>
        <w:rPr>
          <w:rFonts w:ascii="Gill Sans MT" w:hAnsi="Gill Sans MT"/>
          <w:sz w:val="24"/>
          <w:szCs w:val="24"/>
        </w:rPr>
      </w:pPr>
      <w:r w:rsidRPr="00AA5661">
        <w:rPr>
          <w:rFonts w:ascii="Gill Sans MT" w:hAnsi="Gill Sans MT"/>
          <w:sz w:val="24"/>
          <w:szCs w:val="24"/>
        </w:rPr>
        <w:t>On 4 February 2019 COTA met with</w:t>
      </w:r>
      <w:r w:rsidR="005753E7" w:rsidRPr="00AA5661">
        <w:rPr>
          <w:rFonts w:ascii="Gill Sans MT" w:hAnsi="Gill Sans MT"/>
          <w:sz w:val="24"/>
          <w:szCs w:val="24"/>
        </w:rPr>
        <w:t xml:space="preserve"> the Bo</w:t>
      </w:r>
      <w:r w:rsidRPr="00AA5661">
        <w:rPr>
          <w:rFonts w:ascii="Gill Sans MT" w:hAnsi="Gill Sans MT"/>
          <w:sz w:val="24"/>
          <w:szCs w:val="24"/>
        </w:rPr>
        <w:t>ard’s R</w:t>
      </w:r>
      <w:r w:rsidR="005753E7" w:rsidRPr="00AA5661">
        <w:rPr>
          <w:rFonts w:ascii="Gill Sans MT" w:hAnsi="Gill Sans MT"/>
          <w:sz w:val="24"/>
          <w:szCs w:val="24"/>
        </w:rPr>
        <w:t xml:space="preserve">ehabilitation and Compensation </w:t>
      </w:r>
      <w:r w:rsidRPr="00AA5661">
        <w:rPr>
          <w:rFonts w:ascii="Gill Sans MT" w:hAnsi="Gill Sans MT"/>
          <w:sz w:val="24"/>
          <w:szCs w:val="24"/>
        </w:rPr>
        <w:t xml:space="preserve">Committee and presented </w:t>
      </w:r>
      <w:r w:rsidR="005753E7" w:rsidRPr="00AA5661">
        <w:rPr>
          <w:rFonts w:ascii="Gill Sans MT" w:hAnsi="Gill Sans MT"/>
          <w:sz w:val="24"/>
          <w:szCs w:val="24"/>
        </w:rPr>
        <w:t>their con</w:t>
      </w:r>
      <w:r w:rsidR="00D43028">
        <w:rPr>
          <w:rFonts w:ascii="Gill Sans MT" w:hAnsi="Gill Sans MT"/>
          <w:sz w:val="24"/>
          <w:szCs w:val="24"/>
        </w:rPr>
        <w:t>cerns</w:t>
      </w:r>
      <w:r w:rsidRPr="00AA5661">
        <w:rPr>
          <w:rFonts w:ascii="Gill Sans MT" w:hAnsi="Gill Sans MT"/>
          <w:sz w:val="24"/>
          <w:szCs w:val="24"/>
        </w:rPr>
        <w:t>.</w:t>
      </w:r>
    </w:p>
    <w:p w:rsidR="00BA232B" w:rsidRPr="00AA5661" w:rsidRDefault="00BA232B" w:rsidP="00AD5075">
      <w:pPr>
        <w:rPr>
          <w:rFonts w:ascii="Gill Sans MT" w:hAnsi="Gill Sans MT"/>
          <w:sz w:val="24"/>
          <w:szCs w:val="24"/>
        </w:rPr>
      </w:pPr>
      <w:r w:rsidRPr="00AA5661">
        <w:rPr>
          <w:rFonts w:ascii="Gill Sans MT" w:hAnsi="Gill Sans MT"/>
          <w:sz w:val="24"/>
          <w:szCs w:val="24"/>
        </w:rPr>
        <w:t>The Board wrote to key sta</w:t>
      </w:r>
      <w:r w:rsidR="005753E7" w:rsidRPr="00AA5661">
        <w:rPr>
          <w:rFonts w:ascii="Gill Sans MT" w:hAnsi="Gill Sans MT"/>
          <w:sz w:val="24"/>
          <w:szCs w:val="24"/>
        </w:rPr>
        <w:t>ke</w:t>
      </w:r>
      <w:r w:rsidRPr="00AA5661">
        <w:rPr>
          <w:rFonts w:ascii="Gill Sans MT" w:hAnsi="Gill Sans MT"/>
          <w:sz w:val="24"/>
          <w:szCs w:val="24"/>
        </w:rPr>
        <w:t>holders, c</w:t>
      </w:r>
      <w:r w:rsidR="005753E7" w:rsidRPr="00AA5661">
        <w:rPr>
          <w:rFonts w:ascii="Gill Sans MT" w:hAnsi="Gill Sans MT"/>
          <w:sz w:val="24"/>
          <w:szCs w:val="24"/>
        </w:rPr>
        <w:t xml:space="preserve">alled for submissions through regional newspapers, and </w:t>
      </w:r>
      <w:r w:rsidR="00340B60" w:rsidRPr="00AA5661">
        <w:rPr>
          <w:rFonts w:ascii="Gill Sans MT" w:hAnsi="Gill Sans MT"/>
          <w:sz w:val="24"/>
          <w:szCs w:val="24"/>
        </w:rPr>
        <w:t xml:space="preserve">published an Issues Paper </w:t>
      </w:r>
      <w:r w:rsidR="005753E7" w:rsidRPr="00AA5661">
        <w:rPr>
          <w:rFonts w:ascii="Gill Sans MT" w:hAnsi="Gill Sans MT"/>
          <w:sz w:val="24"/>
          <w:szCs w:val="24"/>
        </w:rPr>
        <w:t xml:space="preserve">on 25 March </w:t>
      </w:r>
      <w:r w:rsidR="00340B60" w:rsidRPr="00AA5661">
        <w:rPr>
          <w:rFonts w:ascii="Gill Sans MT" w:hAnsi="Gill Sans MT"/>
          <w:sz w:val="24"/>
          <w:szCs w:val="24"/>
        </w:rPr>
        <w:t xml:space="preserve">2019 on the </w:t>
      </w:r>
      <w:r w:rsidR="00340B60" w:rsidRPr="008A27C8">
        <w:rPr>
          <w:rFonts w:ascii="Gill Sans MT" w:hAnsi="Gill Sans MT"/>
          <w:sz w:val="24"/>
          <w:szCs w:val="24"/>
        </w:rPr>
        <w:t>WorkCover Tasmania and</w:t>
      </w:r>
      <w:r w:rsidR="00340B60" w:rsidRPr="00AA5661">
        <w:rPr>
          <w:rFonts w:ascii="Gill Sans MT" w:hAnsi="Gill Sans MT"/>
          <w:sz w:val="24"/>
          <w:szCs w:val="24"/>
        </w:rPr>
        <w:t xml:space="preserve"> Department of Justice websites.  The comment period closed on 22 April 2019.  </w:t>
      </w:r>
    </w:p>
    <w:p w:rsidR="00AD5075" w:rsidRPr="00AA5661" w:rsidRDefault="00AD5075" w:rsidP="00AD5075">
      <w:pPr>
        <w:rPr>
          <w:rFonts w:ascii="Gill Sans MT" w:hAnsi="Gill Sans MT"/>
          <w:sz w:val="24"/>
          <w:szCs w:val="24"/>
        </w:rPr>
      </w:pPr>
      <w:r w:rsidRPr="00AA5661">
        <w:rPr>
          <w:rFonts w:ascii="Gill Sans MT" w:hAnsi="Gill Sans MT"/>
          <w:sz w:val="24"/>
          <w:szCs w:val="24"/>
        </w:rPr>
        <w:t xml:space="preserve">Written submissions were received from 14 stakeholders. </w:t>
      </w:r>
      <w:r w:rsidR="005753E7" w:rsidRPr="00AA5661">
        <w:rPr>
          <w:rFonts w:ascii="Gill Sans MT" w:hAnsi="Gill Sans MT"/>
          <w:sz w:val="24"/>
          <w:szCs w:val="24"/>
        </w:rPr>
        <w:t xml:space="preserve"> </w:t>
      </w:r>
    </w:p>
    <w:p w:rsidR="00C531C8" w:rsidRPr="00AA5661" w:rsidRDefault="00C531C8" w:rsidP="00AD5075">
      <w:pPr>
        <w:rPr>
          <w:rFonts w:ascii="Gill Sans MT" w:hAnsi="Gill Sans MT"/>
          <w:sz w:val="24"/>
          <w:szCs w:val="24"/>
        </w:rPr>
      </w:pPr>
      <w:r w:rsidRPr="00AA5661">
        <w:rPr>
          <w:rFonts w:ascii="Gill Sans MT" w:hAnsi="Gill Sans MT"/>
          <w:sz w:val="24"/>
          <w:szCs w:val="24"/>
        </w:rPr>
        <w:t xml:space="preserve">Four stakeholders cited concern about the cost of an amendment, and advocated for no change to be made to the Act. </w:t>
      </w:r>
      <w:r w:rsidR="00887259" w:rsidRPr="00AA5661">
        <w:rPr>
          <w:rFonts w:ascii="Gill Sans MT" w:hAnsi="Gill Sans MT"/>
          <w:sz w:val="24"/>
          <w:szCs w:val="24"/>
        </w:rPr>
        <w:t xml:space="preserve">  </w:t>
      </w:r>
    </w:p>
    <w:p w:rsidR="00C531C8" w:rsidRPr="00AA5661" w:rsidRDefault="00C531C8" w:rsidP="00AD5075">
      <w:pPr>
        <w:rPr>
          <w:rFonts w:ascii="Gill Sans MT" w:hAnsi="Gill Sans MT"/>
          <w:sz w:val="24"/>
          <w:szCs w:val="24"/>
        </w:rPr>
      </w:pPr>
      <w:r w:rsidRPr="00AA5661">
        <w:rPr>
          <w:rFonts w:ascii="Gill Sans MT" w:hAnsi="Gill Sans MT"/>
          <w:sz w:val="24"/>
          <w:szCs w:val="24"/>
        </w:rPr>
        <w:t>F</w:t>
      </w:r>
      <w:r w:rsidR="005E3E4B" w:rsidRPr="00AA5661">
        <w:rPr>
          <w:rFonts w:ascii="Gill Sans MT" w:hAnsi="Gill Sans MT"/>
          <w:sz w:val="24"/>
          <w:szCs w:val="24"/>
        </w:rPr>
        <w:t>ive</w:t>
      </w:r>
      <w:r w:rsidRPr="00AA5661">
        <w:rPr>
          <w:rFonts w:ascii="Gill Sans MT" w:hAnsi="Gill Sans MT"/>
          <w:sz w:val="24"/>
          <w:szCs w:val="24"/>
        </w:rPr>
        <w:t xml:space="preserve"> stakeholders advocated for age-restrictions to be </w:t>
      </w:r>
      <w:r w:rsidR="00D43028">
        <w:rPr>
          <w:rFonts w:ascii="Gill Sans MT" w:hAnsi="Gill Sans MT"/>
          <w:sz w:val="24"/>
          <w:szCs w:val="24"/>
        </w:rPr>
        <w:t>removed and f</w:t>
      </w:r>
      <w:r w:rsidRPr="00AA5661">
        <w:rPr>
          <w:rFonts w:ascii="Gill Sans MT" w:hAnsi="Gill Sans MT"/>
          <w:sz w:val="24"/>
          <w:szCs w:val="24"/>
        </w:rPr>
        <w:t>our other stakeholders suggest</w:t>
      </w:r>
      <w:r w:rsidR="005E3E4B" w:rsidRPr="00AA5661">
        <w:rPr>
          <w:rFonts w:ascii="Gill Sans MT" w:hAnsi="Gill Sans MT"/>
          <w:sz w:val="24"/>
          <w:szCs w:val="24"/>
        </w:rPr>
        <w:t>ed</w:t>
      </w:r>
      <w:r w:rsidRPr="00AA5661">
        <w:rPr>
          <w:rFonts w:ascii="Gill Sans MT" w:hAnsi="Gill Sans MT"/>
          <w:sz w:val="24"/>
          <w:szCs w:val="24"/>
        </w:rPr>
        <w:t xml:space="preserve"> an increase to entitlements. </w:t>
      </w:r>
    </w:p>
    <w:p w:rsidR="00305CA1" w:rsidRPr="00AA5661" w:rsidRDefault="00305CA1" w:rsidP="00AD5075">
      <w:pPr>
        <w:rPr>
          <w:rFonts w:ascii="Gill Sans MT" w:hAnsi="Gill Sans MT"/>
          <w:sz w:val="24"/>
          <w:szCs w:val="24"/>
        </w:rPr>
      </w:pPr>
      <w:r w:rsidRPr="00AA5661">
        <w:rPr>
          <w:rFonts w:ascii="Gill Sans MT" w:hAnsi="Gill Sans MT"/>
          <w:sz w:val="24"/>
          <w:szCs w:val="24"/>
        </w:rPr>
        <w:t>Fo</w:t>
      </w:r>
      <w:r w:rsidR="00340B60" w:rsidRPr="00AA5661">
        <w:rPr>
          <w:rFonts w:ascii="Gill Sans MT" w:hAnsi="Gill Sans MT"/>
          <w:sz w:val="24"/>
          <w:szCs w:val="24"/>
        </w:rPr>
        <w:t>u</w:t>
      </w:r>
      <w:r w:rsidRPr="00AA5661">
        <w:rPr>
          <w:rFonts w:ascii="Gill Sans MT" w:hAnsi="Gill Sans MT"/>
          <w:sz w:val="24"/>
          <w:szCs w:val="24"/>
        </w:rPr>
        <w:t>r of the fourteen submissions supported changes to the law or procedures, in favour of the worker, for section 87 referrals to the Tribunal.</w:t>
      </w:r>
    </w:p>
    <w:p w:rsidR="00D92B1A" w:rsidRPr="00AA5661" w:rsidRDefault="00D92B1A" w:rsidP="00AD5075">
      <w:pPr>
        <w:rPr>
          <w:rFonts w:ascii="Gill Sans MT" w:hAnsi="Gill Sans MT"/>
          <w:b/>
          <w:sz w:val="2"/>
          <w:szCs w:val="2"/>
        </w:rPr>
      </w:pPr>
    </w:p>
    <w:p w:rsidR="00305CA1" w:rsidRPr="00AA5661" w:rsidRDefault="00305CA1" w:rsidP="00AD5075">
      <w:pPr>
        <w:rPr>
          <w:rFonts w:ascii="Gill Sans MT" w:hAnsi="Gill Sans MT"/>
          <w:b/>
          <w:sz w:val="24"/>
          <w:szCs w:val="24"/>
        </w:rPr>
      </w:pPr>
      <w:r w:rsidRPr="00AA5661">
        <w:rPr>
          <w:rFonts w:ascii="Gill Sans MT" w:hAnsi="Gill Sans MT"/>
          <w:b/>
          <w:sz w:val="24"/>
          <w:szCs w:val="24"/>
        </w:rPr>
        <w:t>The Board’s findings and recommendations</w:t>
      </w:r>
    </w:p>
    <w:p w:rsidR="00C550E3" w:rsidRPr="00AA5661" w:rsidRDefault="00C550E3" w:rsidP="00AD5075">
      <w:pPr>
        <w:rPr>
          <w:rFonts w:ascii="Gill Sans MT" w:hAnsi="Gill Sans MT"/>
          <w:i/>
          <w:sz w:val="24"/>
          <w:szCs w:val="24"/>
          <w:u w:val="single"/>
        </w:rPr>
      </w:pPr>
      <w:r w:rsidRPr="00AA5661">
        <w:rPr>
          <w:rFonts w:ascii="Gill Sans MT" w:hAnsi="Gill Sans MT"/>
          <w:i/>
          <w:sz w:val="24"/>
          <w:szCs w:val="24"/>
          <w:u w:val="single"/>
        </w:rPr>
        <w:t>Options proposed</w:t>
      </w:r>
    </w:p>
    <w:p w:rsidR="00C550E3" w:rsidRPr="00AA5661" w:rsidRDefault="00567DA4" w:rsidP="00AD5075">
      <w:pPr>
        <w:rPr>
          <w:rFonts w:ascii="Gill Sans MT" w:hAnsi="Gill Sans MT"/>
          <w:sz w:val="24"/>
          <w:szCs w:val="24"/>
        </w:rPr>
      </w:pPr>
      <w:r>
        <w:rPr>
          <w:rFonts w:ascii="Gill Sans MT" w:hAnsi="Gill Sans MT"/>
          <w:sz w:val="24"/>
          <w:szCs w:val="24"/>
        </w:rPr>
        <w:t>In</w:t>
      </w:r>
      <w:r w:rsidR="00305CA1" w:rsidRPr="00AA5661">
        <w:rPr>
          <w:rFonts w:ascii="Gill Sans MT" w:hAnsi="Gill Sans MT"/>
          <w:sz w:val="24"/>
          <w:szCs w:val="24"/>
        </w:rPr>
        <w:t xml:space="preserve"> reporting to the responsible Minister (now the Minister for Workplace Safety and Consumer Affairs)</w:t>
      </w:r>
      <w:r w:rsidR="00C550E3" w:rsidRPr="00AA5661">
        <w:rPr>
          <w:rFonts w:ascii="Gill Sans MT" w:hAnsi="Gill Sans MT"/>
          <w:sz w:val="24"/>
          <w:szCs w:val="24"/>
        </w:rPr>
        <w:t xml:space="preserve">, the Board </w:t>
      </w:r>
      <w:r>
        <w:rPr>
          <w:rFonts w:ascii="Gill Sans MT" w:hAnsi="Gill Sans MT"/>
          <w:sz w:val="24"/>
          <w:szCs w:val="24"/>
        </w:rPr>
        <w:t>presented two</w:t>
      </w:r>
      <w:r w:rsidR="00C550E3" w:rsidRPr="00AA5661">
        <w:rPr>
          <w:rFonts w:ascii="Gill Sans MT" w:hAnsi="Gill Sans MT"/>
          <w:sz w:val="24"/>
          <w:szCs w:val="24"/>
        </w:rPr>
        <w:t xml:space="preserve"> options f</w:t>
      </w:r>
      <w:r>
        <w:rPr>
          <w:rFonts w:ascii="Gill Sans MT" w:hAnsi="Gill Sans MT"/>
          <w:sz w:val="24"/>
          <w:szCs w:val="24"/>
        </w:rPr>
        <w:t>or the Minister’s consideration</w:t>
      </w:r>
      <w:r w:rsidR="00C550E3" w:rsidRPr="00AA5661">
        <w:rPr>
          <w:rFonts w:ascii="Gill Sans MT" w:hAnsi="Gill Sans MT"/>
          <w:sz w:val="24"/>
          <w:szCs w:val="24"/>
        </w:rPr>
        <w:t>:</w:t>
      </w:r>
    </w:p>
    <w:p w:rsidR="00C550E3" w:rsidRPr="00AA5661" w:rsidRDefault="00C550E3" w:rsidP="00C550E3">
      <w:pPr>
        <w:ind w:firstLine="720"/>
        <w:rPr>
          <w:rFonts w:ascii="Gill Sans MT" w:hAnsi="Gill Sans MT"/>
          <w:sz w:val="24"/>
          <w:szCs w:val="24"/>
        </w:rPr>
      </w:pPr>
      <w:r w:rsidRPr="00AA5661">
        <w:rPr>
          <w:rFonts w:ascii="Gill Sans MT" w:hAnsi="Gill Sans MT"/>
          <w:sz w:val="24"/>
          <w:szCs w:val="24"/>
        </w:rPr>
        <w:t>Option 1:</w:t>
      </w:r>
      <w:r w:rsidRPr="00AA5661">
        <w:rPr>
          <w:rFonts w:ascii="Gill Sans MT" w:hAnsi="Gill Sans MT"/>
          <w:sz w:val="24"/>
          <w:szCs w:val="24"/>
        </w:rPr>
        <w:tab/>
        <w:t>Maintain the status quo;</w:t>
      </w:r>
    </w:p>
    <w:p w:rsidR="00396219" w:rsidRPr="00AA5661" w:rsidRDefault="00C550E3" w:rsidP="00C550E3">
      <w:pPr>
        <w:ind w:left="2160" w:hanging="1440"/>
        <w:rPr>
          <w:rFonts w:ascii="Gill Sans MT" w:hAnsi="Gill Sans MT"/>
          <w:sz w:val="24"/>
          <w:szCs w:val="24"/>
        </w:rPr>
      </w:pPr>
      <w:r w:rsidRPr="00AA5661">
        <w:rPr>
          <w:rFonts w:ascii="Gill Sans MT" w:hAnsi="Gill Sans MT"/>
          <w:sz w:val="24"/>
          <w:szCs w:val="24"/>
        </w:rPr>
        <w:t xml:space="preserve">Option 2: </w:t>
      </w:r>
      <w:r w:rsidRPr="00AA5661">
        <w:rPr>
          <w:rFonts w:ascii="Gill Sans MT" w:hAnsi="Gill Sans MT"/>
          <w:sz w:val="24"/>
          <w:szCs w:val="24"/>
        </w:rPr>
        <w:tab/>
        <w:t>Cease entitlements to weekly payments at the pension age if the injury occurred more than two years before the worker attained the pension age.  If the injury occurred when the worker was aged two years from the pension age or older, cease entitlements to weekly payments after two years from the date of the injury.  The changes are to operate prospectively,</w:t>
      </w:r>
      <w:r w:rsidR="00396219" w:rsidRPr="00AA5661">
        <w:rPr>
          <w:rFonts w:ascii="Gill Sans MT" w:hAnsi="Gill Sans MT"/>
          <w:sz w:val="24"/>
          <w:szCs w:val="24"/>
        </w:rPr>
        <w:t xml:space="preserve"> and not retrospectively.</w:t>
      </w:r>
    </w:p>
    <w:p w:rsidR="00305008" w:rsidRPr="00AA5661" w:rsidRDefault="00305008" w:rsidP="00305008">
      <w:pPr>
        <w:rPr>
          <w:rFonts w:ascii="Gill Sans MT" w:hAnsi="Gill Sans MT"/>
          <w:i/>
          <w:sz w:val="24"/>
          <w:szCs w:val="24"/>
          <w:u w:val="single"/>
        </w:rPr>
      </w:pPr>
      <w:r w:rsidRPr="00AA5661">
        <w:rPr>
          <w:rFonts w:ascii="Gill Sans MT" w:hAnsi="Gill Sans MT"/>
          <w:i/>
          <w:sz w:val="24"/>
          <w:szCs w:val="24"/>
          <w:u w:val="single"/>
        </w:rPr>
        <w:t xml:space="preserve">Cost of the proposed options </w:t>
      </w:r>
    </w:p>
    <w:p w:rsidR="00305008" w:rsidRPr="00AA5661" w:rsidRDefault="00305008" w:rsidP="00305008">
      <w:pPr>
        <w:rPr>
          <w:rFonts w:ascii="Gill Sans MT" w:hAnsi="Gill Sans MT"/>
          <w:sz w:val="24"/>
          <w:szCs w:val="24"/>
        </w:rPr>
      </w:pPr>
      <w:r w:rsidRPr="00AA5661">
        <w:rPr>
          <w:rFonts w:ascii="Gill Sans MT" w:hAnsi="Gill Sans MT"/>
          <w:sz w:val="24"/>
          <w:szCs w:val="24"/>
        </w:rPr>
        <w:t>The Board engaged PricewaterhouseCoopers (PwC) to provide advice on the potential impacts of the Tasmanian Workers Compensation Scheme of revisions to section 87 of the Act.  Under Option 2, the expected financial impact on the premium pool per accident year was estimate</w:t>
      </w:r>
      <w:r w:rsidR="00567DA4">
        <w:rPr>
          <w:rFonts w:ascii="Gill Sans MT" w:hAnsi="Gill Sans MT"/>
          <w:sz w:val="24"/>
          <w:szCs w:val="24"/>
        </w:rPr>
        <w:t>d</w:t>
      </w:r>
      <w:r w:rsidRPr="00AA5661">
        <w:rPr>
          <w:rFonts w:ascii="Gill Sans MT" w:hAnsi="Gill Sans MT"/>
          <w:sz w:val="24"/>
          <w:szCs w:val="24"/>
        </w:rPr>
        <w:t xml:space="preserve"> at $893,716.  The expected impact on the suggested premium rate was an estimated increase of 0.5%.</w:t>
      </w:r>
    </w:p>
    <w:p w:rsidR="00305008" w:rsidRPr="00AA5661" w:rsidRDefault="00305008" w:rsidP="00305008">
      <w:pPr>
        <w:rPr>
          <w:rFonts w:ascii="Gill Sans MT" w:hAnsi="Gill Sans MT"/>
          <w:sz w:val="24"/>
          <w:szCs w:val="24"/>
        </w:rPr>
      </w:pPr>
      <w:r w:rsidRPr="00AA5661">
        <w:rPr>
          <w:rFonts w:ascii="Gill Sans MT" w:hAnsi="Gill Sans MT"/>
          <w:sz w:val="24"/>
          <w:szCs w:val="24"/>
        </w:rPr>
        <w:t>As Option 1 proposed no change to the legislation, this option would have no impact on the scheme.</w:t>
      </w:r>
    </w:p>
    <w:p w:rsidR="00305008" w:rsidRPr="00AA5661" w:rsidRDefault="00305008" w:rsidP="00305008">
      <w:pPr>
        <w:rPr>
          <w:rFonts w:ascii="Gill Sans MT" w:hAnsi="Gill Sans MT"/>
          <w:i/>
          <w:sz w:val="24"/>
          <w:szCs w:val="24"/>
          <w:u w:val="single"/>
        </w:rPr>
      </w:pPr>
      <w:r w:rsidRPr="00AA5661">
        <w:rPr>
          <w:rFonts w:ascii="Gill Sans MT" w:hAnsi="Gill Sans MT"/>
          <w:i/>
          <w:sz w:val="24"/>
          <w:szCs w:val="24"/>
          <w:u w:val="single"/>
        </w:rPr>
        <w:t>Jurisdictional Analysis</w:t>
      </w:r>
    </w:p>
    <w:p w:rsidR="00305008" w:rsidRPr="00AA5661" w:rsidRDefault="00305008" w:rsidP="00305008">
      <w:pPr>
        <w:rPr>
          <w:rFonts w:ascii="Gill Sans MT" w:hAnsi="Gill Sans MT"/>
          <w:sz w:val="24"/>
          <w:szCs w:val="24"/>
        </w:rPr>
      </w:pPr>
      <w:r w:rsidRPr="00AA5661">
        <w:rPr>
          <w:rFonts w:ascii="Gill Sans MT" w:hAnsi="Gill Sans MT"/>
          <w:sz w:val="24"/>
          <w:szCs w:val="24"/>
        </w:rPr>
        <w:t>A jurisdictional comparison found that Tasmania was relatively more genero</w:t>
      </w:r>
      <w:r w:rsidR="00D92B1A" w:rsidRPr="00AA5661">
        <w:rPr>
          <w:rFonts w:ascii="Gill Sans MT" w:hAnsi="Gill Sans MT"/>
          <w:sz w:val="24"/>
          <w:szCs w:val="24"/>
        </w:rPr>
        <w:t>us to older workers than other jurisdiction</w:t>
      </w:r>
      <w:r w:rsidRPr="00AA5661">
        <w:rPr>
          <w:rFonts w:ascii="Gill Sans MT" w:hAnsi="Gill Sans MT"/>
          <w:sz w:val="24"/>
          <w:szCs w:val="24"/>
        </w:rPr>
        <w:t>s, in that</w:t>
      </w:r>
      <w:r w:rsidR="00D92B1A" w:rsidRPr="00AA5661">
        <w:rPr>
          <w:rFonts w:ascii="Gill Sans MT" w:hAnsi="Gill Sans MT"/>
          <w:sz w:val="24"/>
          <w:szCs w:val="24"/>
        </w:rPr>
        <w:t xml:space="preserve"> Tasmania</w:t>
      </w:r>
      <w:r w:rsidRPr="00AA5661">
        <w:rPr>
          <w:rFonts w:ascii="Gill Sans MT" w:hAnsi="Gill Sans MT"/>
          <w:sz w:val="24"/>
          <w:szCs w:val="24"/>
        </w:rPr>
        <w:t xml:space="preserve"> includes the option to seek a determination from t</w:t>
      </w:r>
      <w:r w:rsidR="00D92B1A" w:rsidRPr="00AA5661">
        <w:rPr>
          <w:rFonts w:ascii="Gill Sans MT" w:hAnsi="Gill Sans MT"/>
          <w:sz w:val="24"/>
          <w:szCs w:val="24"/>
        </w:rPr>
        <w:t>he Tribunal to extend payments beyond the restrictions</w:t>
      </w:r>
      <w:r w:rsidRPr="00AA5661">
        <w:rPr>
          <w:rFonts w:ascii="Gill Sans MT" w:hAnsi="Gill Sans MT"/>
          <w:sz w:val="24"/>
          <w:szCs w:val="24"/>
        </w:rPr>
        <w:t xml:space="preserve"> in section 87(1) of the Act.  No other state or territory had this option.  However, without making an application to the Tribunal, Tasmania was found to have the least generous entitlements for older workers.</w:t>
      </w:r>
    </w:p>
    <w:p w:rsidR="00305008" w:rsidRPr="00AA5661" w:rsidRDefault="00305008" w:rsidP="00305008">
      <w:pPr>
        <w:rPr>
          <w:rFonts w:ascii="Gill Sans MT" w:hAnsi="Gill Sans MT"/>
          <w:sz w:val="24"/>
          <w:szCs w:val="24"/>
        </w:rPr>
      </w:pPr>
      <w:r w:rsidRPr="00AA5661">
        <w:rPr>
          <w:rFonts w:ascii="Gill Sans MT" w:hAnsi="Gill Sans MT"/>
          <w:sz w:val="24"/>
          <w:szCs w:val="24"/>
        </w:rPr>
        <w:t xml:space="preserve">In more detail, all jurisdictions except Queensland and Western Australia were found to provide for the cessation of entitlements at pension age or </w:t>
      </w:r>
      <w:r w:rsidR="00DB22E2">
        <w:rPr>
          <w:rFonts w:ascii="Gill Sans MT" w:hAnsi="Gill Sans MT"/>
          <w:sz w:val="24"/>
          <w:szCs w:val="24"/>
        </w:rPr>
        <w:t xml:space="preserve">a defined </w:t>
      </w:r>
      <w:r w:rsidR="00D92B1A" w:rsidRPr="00AA5661">
        <w:rPr>
          <w:rFonts w:ascii="Gill Sans MT" w:hAnsi="Gill Sans MT"/>
          <w:sz w:val="24"/>
          <w:szCs w:val="24"/>
        </w:rPr>
        <w:t>‘</w:t>
      </w:r>
      <w:r w:rsidRPr="00AA5661">
        <w:rPr>
          <w:rFonts w:ascii="Gill Sans MT" w:hAnsi="Gill Sans MT"/>
          <w:sz w:val="24"/>
          <w:szCs w:val="24"/>
        </w:rPr>
        <w:t>retirement age</w:t>
      </w:r>
      <w:r w:rsidR="00D92B1A" w:rsidRPr="00AA5661">
        <w:rPr>
          <w:rFonts w:ascii="Gill Sans MT" w:hAnsi="Gill Sans MT"/>
          <w:sz w:val="24"/>
          <w:szCs w:val="24"/>
        </w:rPr>
        <w:t>’</w:t>
      </w:r>
      <w:r w:rsidRPr="00AA5661">
        <w:rPr>
          <w:rFonts w:ascii="Gill Sans MT" w:hAnsi="Gill Sans MT"/>
          <w:sz w:val="24"/>
          <w:szCs w:val="24"/>
        </w:rPr>
        <w:t>.  If injury occurs a specified number of weeks (or 2 years, in the case of three jurisdictions) before the pension or retirement age, then payments cease</w:t>
      </w:r>
      <w:r w:rsidR="00D92B1A" w:rsidRPr="00AA5661">
        <w:rPr>
          <w:rFonts w:ascii="Gill Sans MT" w:hAnsi="Gill Sans MT"/>
          <w:sz w:val="24"/>
          <w:szCs w:val="24"/>
        </w:rPr>
        <w:t xml:space="preserve"> at the expiration of</w:t>
      </w:r>
      <w:r w:rsidRPr="00AA5661">
        <w:rPr>
          <w:rFonts w:ascii="Gill Sans MT" w:hAnsi="Gill Sans MT"/>
          <w:sz w:val="24"/>
          <w:szCs w:val="24"/>
        </w:rPr>
        <w:t xml:space="preserve"> the specified number of weeks or years after the </w:t>
      </w:r>
      <w:r w:rsidR="00D92B1A" w:rsidRPr="00AA5661">
        <w:rPr>
          <w:rFonts w:ascii="Gill Sans MT" w:hAnsi="Gill Sans MT"/>
          <w:sz w:val="24"/>
          <w:szCs w:val="24"/>
        </w:rPr>
        <w:t xml:space="preserve">date the </w:t>
      </w:r>
      <w:r w:rsidRPr="00AA5661">
        <w:rPr>
          <w:rFonts w:ascii="Gill Sans MT" w:hAnsi="Gill Sans MT"/>
          <w:sz w:val="24"/>
          <w:szCs w:val="24"/>
        </w:rPr>
        <w:t>incapacity</w:t>
      </w:r>
      <w:r w:rsidR="00D92B1A" w:rsidRPr="00AA5661">
        <w:rPr>
          <w:rFonts w:ascii="Gill Sans MT" w:hAnsi="Gill Sans MT"/>
          <w:sz w:val="24"/>
          <w:szCs w:val="24"/>
        </w:rPr>
        <w:t xml:space="preserve"> occurred</w:t>
      </w:r>
      <w:r w:rsidRPr="00AA5661">
        <w:rPr>
          <w:rFonts w:ascii="Gill Sans MT" w:hAnsi="Gill Sans MT"/>
          <w:sz w:val="24"/>
          <w:szCs w:val="24"/>
        </w:rPr>
        <w:t>.</w:t>
      </w:r>
    </w:p>
    <w:p w:rsidR="00305008" w:rsidRPr="00AA5661" w:rsidRDefault="00305008" w:rsidP="00305008">
      <w:pPr>
        <w:rPr>
          <w:rFonts w:ascii="Gill Sans MT" w:hAnsi="Gill Sans MT"/>
          <w:sz w:val="24"/>
          <w:szCs w:val="24"/>
        </w:rPr>
      </w:pPr>
      <w:r w:rsidRPr="00AA5661">
        <w:rPr>
          <w:rFonts w:ascii="Gill Sans MT" w:hAnsi="Gill Sans MT"/>
          <w:sz w:val="24"/>
          <w:szCs w:val="24"/>
        </w:rPr>
        <w:t>Western Australia and Queensland were found to have no age restriction, having, instead, a cap on weekly entitlements (a monetary cap in the case of Western Australia</w:t>
      </w:r>
      <w:r w:rsidR="00D92B1A" w:rsidRPr="00AA5661">
        <w:rPr>
          <w:rFonts w:ascii="Gill Sans MT" w:hAnsi="Gill Sans MT"/>
          <w:sz w:val="24"/>
          <w:szCs w:val="24"/>
        </w:rPr>
        <w:t>,</w:t>
      </w:r>
      <w:r w:rsidRPr="00AA5661">
        <w:rPr>
          <w:rFonts w:ascii="Gill Sans MT" w:hAnsi="Gill Sans MT"/>
          <w:sz w:val="24"/>
          <w:szCs w:val="24"/>
        </w:rPr>
        <w:t xml:space="preserve"> and a cap based on </w:t>
      </w:r>
      <w:r w:rsidR="00E87593" w:rsidRPr="00AA5661">
        <w:rPr>
          <w:rFonts w:ascii="Gill Sans MT" w:hAnsi="Gill Sans MT"/>
          <w:sz w:val="24"/>
          <w:szCs w:val="24"/>
        </w:rPr>
        <w:t>a specified number of years and/or a monetary limit in Queensland).</w:t>
      </w:r>
    </w:p>
    <w:p w:rsidR="00C550E3" w:rsidRPr="00AA5661" w:rsidRDefault="00905375" w:rsidP="00C550E3">
      <w:pPr>
        <w:rPr>
          <w:rFonts w:ascii="Gill Sans MT" w:hAnsi="Gill Sans MT"/>
          <w:i/>
          <w:sz w:val="24"/>
          <w:szCs w:val="24"/>
          <w:u w:val="single"/>
        </w:rPr>
      </w:pPr>
      <w:r w:rsidRPr="00AA5661">
        <w:rPr>
          <w:rFonts w:ascii="Gill Sans MT" w:hAnsi="Gill Sans MT"/>
          <w:i/>
          <w:sz w:val="24"/>
          <w:szCs w:val="24"/>
          <w:u w:val="single"/>
        </w:rPr>
        <w:t>Discriminatory nature</w:t>
      </w:r>
    </w:p>
    <w:p w:rsidR="00605783" w:rsidRPr="00AA5661" w:rsidRDefault="00844240" w:rsidP="00C550E3">
      <w:pPr>
        <w:rPr>
          <w:rFonts w:ascii="Gill Sans MT" w:hAnsi="Gill Sans MT"/>
          <w:sz w:val="24"/>
          <w:szCs w:val="24"/>
        </w:rPr>
      </w:pPr>
      <w:r w:rsidRPr="00AA5661">
        <w:rPr>
          <w:rFonts w:ascii="Gill Sans MT" w:hAnsi="Gill Sans MT"/>
          <w:sz w:val="24"/>
          <w:szCs w:val="24"/>
        </w:rPr>
        <w:t>While the Board found that an age-based restriction on workers compensation payments</w:t>
      </w:r>
      <w:r w:rsidR="00D92B1A" w:rsidRPr="00AA5661">
        <w:rPr>
          <w:rFonts w:ascii="Gill Sans MT" w:hAnsi="Gill Sans MT"/>
          <w:sz w:val="24"/>
          <w:szCs w:val="24"/>
        </w:rPr>
        <w:t xml:space="preserve"> in section 87</w:t>
      </w:r>
      <w:r w:rsidRPr="00AA5661">
        <w:rPr>
          <w:rFonts w:ascii="Gill Sans MT" w:hAnsi="Gill Sans MT"/>
          <w:sz w:val="24"/>
          <w:szCs w:val="24"/>
        </w:rPr>
        <w:t xml:space="preserve"> is not unlawful, t</w:t>
      </w:r>
      <w:r w:rsidR="00905375" w:rsidRPr="00AA5661">
        <w:rPr>
          <w:rFonts w:ascii="Gill Sans MT" w:hAnsi="Gill Sans MT"/>
          <w:sz w:val="24"/>
          <w:szCs w:val="24"/>
        </w:rPr>
        <w:t xml:space="preserve">he </w:t>
      </w:r>
      <w:r w:rsidR="00605783" w:rsidRPr="00AA5661">
        <w:rPr>
          <w:rFonts w:ascii="Gill Sans MT" w:hAnsi="Gill Sans MT"/>
          <w:sz w:val="24"/>
          <w:szCs w:val="24"/>
        </w:rPr>
        <w:t xml:space="preserve">majority of stakeholder submissions considered the provisions to be discriminatory.  </w:t>
      </w:r>
    </w:p>
    <w:p w:rsidR="00E93239" w:rsidRPr="00AA5661" w:rsidRDefault="00E93239" w:rsidP="00C550E3">
      <w:pPr>
        <w:rPr>
          <w:rFonts w:ascii="Gill Sans MT" w:hAnsi="Gill Sans MT"/>
          <w:sz w:val="24"/>
          <w:szCs w:val="24"/>
        </w:rPr>
      </w:pPr>
      <w:r w:rsidRPr="00AA5661">
        <w:rPr>
          <w:rFonts w:ascii="Gill Sans MT" w:hAnsi="Gill Sans MT"/>
          <w:sz w:val="24"/>
          <w:szCs w:val="24"/>
        </w:rPr>
        <w:lastRenderedPageBreak/>
        <w:t xml:space="preserve">Although </w:t>
      </w:r>
      <w:r w:rsidR="00844240" w:rsidRPr="00AA5661">
        <w:rPr>
          <w:rFonts w:ascii="Gill Sans MT" w:hAnsi="Gill Sans MT"/>
          <w:sz w:val="24"/>
          <w:szCs w:val="24"/>
        </w:rPr>
        <w:t>O</w:t>
      </w:r>
      <w:r w:rsidRPr="00AA5661">
        <w:rPr>
          <w:rFonts w:ascii="Gill Sans MT" w:hAnsi="Gill Sans MT"/>
          <w:sz w:val="24"/>
          <w:szCs w:val="24"/>
        </w:rPr>
        <w:t>ption 2 maintains an age restriction, and therefore would not fully address this concern, it would reduce the inequality between older and younger workers in terms of entitlements.</w:t>
      </w:r>
    </w:p>
    <w:p w:rsidR="00CC2048" w:rsidRPr="00AA5661" w:rsidRDefault="00CC2048" w:rsidP="00C550E3">
      <w:pPr>
        <w:rPr>
          <w:rFonts w:ascii="Gill Sans MT" w:hAnsi="Gill Sans MT"/>
          <w:b/>
          <w:sz w:val="24"/>
          <w:szCs w:val="24"/>
        </w:rPr>
      </w:pPr>
      <w:r w:rsidRPr="00AA5661">
        <w:rPr>
          <w:rFonts w:ascii="Gill Sans MT" w:hAnsi="Gill Sans MT"/>
          <w:b/>
          <w:sz w:val="24"/>
          <w:szCs w:val="24"/>
        </w:rPr>
        <w:t>Why not remove the age-based restrictions imposed by section 87?</w:t>
      </w:r>
    </w:p>
    <w:p w:rsidR="00E87593" w:rsidRPr="00AA5661" w:rsidRDefault="00E87593" w:rsidP="00E87593">
      <w:pPr>
        <w:rPr>
          <w:rFonts w:ascii="Gill Sans MT" w:eastAsia="Times New Roman" w:hAnsi="Gill Sans MT" w:cs="Times New Roman"/>
          <w:color w:val="000000"/>
          <w:sz w:val="24"/>
          <w:szCs w:val="24"/>
          <w:lang w:eastAsia="en-AU"/>
        </w:rPr>
      </w:pPr>
      <w:r w:rsidRPr="00AA5661">
        <w:rPr>
          <w:rFonts w:ascii="Gill Sans MT" w:hAnsi="Gill Sans MT"/>
          <w:sz w:val="24"/>
          <w:szCs w:val="24"/>
        </w:rPr>
        <w:t xml:space="preserve">Delivery of a workers’ rehabilitation and compensation scheme that is </w:t>
      </w:r>
      <w:r w:rsidRPr="00AA5661">
        <w:rPr>
          <w:rFonts w:ascii="Gill Sans MT" w:eastAsia="Times New Roman" w:hAnsi="Gill Sans MT" w:cs="Times New Roman"/>
          <w:color w:val="000000"/>
          <w:sz w:val="24"/>
          <w:szCs w:val="24"/>
          <w:lang w:eastAsia="en-AU"/>
        </w:rPr>
        <w:t>fair, affo</w:t>
      </w:r>
      <w:r w:rsidR="00DB22E2">
        <w:rPr>
          <w:rFonts w:ascii="Gill Sans MT" w:eastAsia="Times New Roman" w:hAnsi="Gill Sans MT" w:cs="Times New Roman"/>
          <w:color w:val="000000"/>
          <w:sz w:val="24"/>
          <w:szCs w:val="24"/>
          <w:lang w:eastAsia="en-AU"/>
        </w:rPr>
        <w:t>rdable, efficient and effective</w:t>
      </w:r>
      <w:r w:rsidRPr="00AA5661">
        <w:rPr>
          <w:rFonts w:ascii="Gill Sans MT" w:eastAsia="Times New Roman" w:hAnsi="Gill Sans MT" w:cs="Times New Roman"/>
          <w:color w:val="000000"/>
          <w:sz w:val="24"/>
          <w:szCs w:val="24"/>
          <w:lang w:eastAsia="en-AU"/>
        </w:rPr>
        <w:t xml:space="preserve"> requires a balanced approach to ensure that the benefits of the scheme do not become unaffordable.</w:t>
      </w:r>
    </w:p>
    <w:p w:rsidR="00E87593" w:rsidRPr="00AA5661" w:rsidRDefault="00E87593" w:rsidP="00E87593">
      <w:pPr>
        <w:rPr>
          <w:rFonts w:ascii="Gill Sans MT" w:eastAsia="Times New Roman" w:hAnsi="Gill Sans MT" w:cs="Times New Roman"/>
          <w:color w:val="000000"/>
          <w:sz w:val="24"/>
          <w:szCs w:val="24"/>
          <w:lang w:eastAsia="en-AU"/>
        </w:rPr>
      </w:pPr>
      <w:r w:rsidRPr="00AA5661">
        <w:rPr>
          <w:rFonts w:ascii="Gill Sans MT" w:eastAsia="Times New Roman" w:hAnsi="Gill Sans MT" w:cs="Times New Roman"/>
          <w:color w:val="000000"/>
          <w:sz w:val="24"/>
          <w:szCs w:val="24"/>
          <w:lang w:eastAsia="en-AU"/>
        </w:rPr>
        <w:t xml:space="preserve">All jurisdictions have some means of limiting costs, whether it is by capping payments (by amount </w:t>
      </w:r>
      <w:r w:rsidR="00C82D9E" w:rsidRPr="00AA5661">
        <w:rPr>
          <w:rFonts w:ascii="Gill Sans MT" w:eastAsia="Times New Roman" w:hAnsi="Gill Sans MT" w:cs="Times New Roman"/>
          <w:color w:val="000000"/>
          <w:sz w:val="24"/>
          <w:szCs w:val="24"/>
          <w:lang w:eastAsia="en-AU"/>
        </w:rPr>
        <w:t>and/</w:t>
      </w:r>
      <w:r w:rsidRPr="00AA5661">
        <w:rPr>
          <w:rFonts w:ascii="Gill Sans MT" w:eastAsia="Times New Roman" w:hAnsi="Gill Sans MT" w:cs="Times New Roman"/>
          <w:color w:val="000000"/>
          <w:sz w:val="24"/>
          <w:szCs w:val="24"/>
          <w:lang w:eastAsia="en-AU"/>
        </w:rPr>
        <w:t xml:space="preserve">or time) or ceasing payments </w:t>
      </w:r>
      <w:r w:rsidR="00DB22E2">
        <w:rPr>
          <w:rFonts w:ascii="Gill Sans MT" w:eastAsia="Times New Roman" w:hAnsi="Gill Sans MT" w:cs="Times New Roman"/>
          <w:color w:val="000000"/>
          <w:sz w:val="24"/>
          <w:szCs w:val="24"/>
          <w:lang w:eastAsia="en-AU"/>
        </w:rPr>
        <w:t>(</w:t>
      </w:r>
      <w:r w:rsidRPr="00AA5661">
        <w:rPr>
          <w:rFonts w:ascii="Gill Sans MT" w:eastAsia="Times New Roman" w:hAnsi="Gill Sans MT" w:cs="Times New Roman"/>
          <w:color w:val="000000"/>
          <w:sz w:val="24"/>
          <w:szCs w:val="24"/>
          <w:lang w:eastAsia="en-AU"/>
        </w:rPr>
        <w:t>due to retirement or pension age and the timing of the injury in relation to that age</w:t>
      </w:r>
      <w:r w:rsidR="00DB22E2">
        <w:rPr>
          <w:rFonts w:ascii="Gill Sans MT" w:eastAsia="Times New Roman" w:hAnsi="Gill Sans MT" w:cs="Times New Roman"/>
          <w:color w:val="000000"/>
          <w:sz w:val="24"/>
          <w:szCs w:val="24"/>
          <w:lang w:eastAsia="en-AU"/>
        </w:rPr>
        <w:t>)</w:t>
      </w:r>
      <w:r w:rsidRPr="00AA5661">
        <w:rPr>
          <w:rFonts w:ascii="Gill Sans MT" w:eastAsia="Times New Roman" w:hAnsi="Gill Sans MT" w:cs="Times New Roman"/>
          <w:color w:val="000000"/>
          <w:sz w:val="24"/>
          <w:szCs w:val="24"/>
          <w:lang w:eastAsia="en-AU"/>
        </w:rPr>
        <w:t>.</w:t>
      </w:r>
    </w:p>
    <w:p w:rsidR="000D3074" w:rsidRPr="00AA5661" w:rsidRDefault="000D3074" w:rsidP="00E87593">
      <w:pPr>
        <w:rPr>
          <w:rFonts w:ascii="Gill Sans MT" w:eastAsia="Times New Roman" w:hAnsi="Gill Sans MT" w:cs="Times New Roman"/>
          <w:color w:val="000000"/>
          <w:sz w:val="24"/>
          <w:szCs w:val="24"/>
          <w:lang w:eastAsia="en-AU"/>
        </w:rPr>
      </w:pPr>
      <w:r w:rsidRPr="00AA5661">
        <w:rPr>
          <w:rFonts w:ascii="Gill Sans MT" w:hAnsi="Gill Sans MT"/>
          <w:sz w:val="24"/>
          <w:szCs w:val="24"/>
        </w:rPr>
        <w:t>Under Tasmania’</w:t>
      </w:r>
      <w:r w:rsidR="00083C59">
        <w:rPr>
          <w:rFonts w:ascii="Gill Sans MT" w:hAnsi="Gill Sans MT"/>
          <w:sz w:val="24"/>
          <w:szCs w:val="24"/>
        </w:rPr>
        <w:t>s</w:t>
      </w:r>
      <w:r w:rsidRPr="00AA5661">
        <w:rPr>
          <w:rFonts w:ascii="Gill Sans MT" w:hAnsi="Gill Sans MT"/>
          <w:sz w:val="24"/>
          <w:szCs w:val="24"/>
        </w:rPr>
        <w:t xml:space="preserve"> current scheme, removing age restrictions from the Act would leave some claims uncapped.</w:t>
      </w:r>
    </w:p>
    <w:p w:rsidR="00FF36FB" w:rsidRPr="00AA5661" w:rsidRDefault="00FF36FB" w:rsidP="00E87593">
      <w:pPr>
        <w:rPr>
          <w:rFonts w:ascii="Gill Sans MT" w:hAnsi="Gill Sans MT"/>
          <w:sz w:val="24"/>
          <w:szCs w:val="24"/>
        </w:rPr>
      </w:pPr>
      <w:r w:rsidRPr="00AA5661">
        <w:rPr>
          <w:rFonts w:ascii="Gill Sans MT" w:hAnsi="Gill Sans MT"/>
          <w:sz w:val="24"/>
          <w:szCs w:val="24"/>
        </w:rPr>
        <w:t xml:space="preserve">In Tasmania, a worker who is incapacitated (either totally or partially) for work as a result of a work-related injury or disease is entitled to weekly compensation payments. There is no monetary limit to the total amount received; nor is there a maximum amount for weekly payments.  There are, however, ‘step-down’ provisions whereby payments reduce at 27 and 79 weeks.  </w:t>
      </w:r>
      <w:r w:rsidR="000D3074" w:rsidRPr="00AA5661">
        <w:rPr>
          <w:rFonts w:ascii="Gill Sans MT" w:hAnsi="Gill Sans MT"/>
          <w:sz w:val="24"/>
          <w:szCs w:val="24"/>
        </w:rPr>
        <w:t xml:space="preserve">The provisions were </w:t>
      </w:r>
      <w:r w:rsidR="00C82D9E" w:rsidRPr="00AA5661">
        <w:rPr>
          <w:rFonts w:ascii="Gill Sans MT" w:hAnsi="Gill Sans MT"/>
          <w:sz w:val="24"/>
          <w:szCs w:val="24"/>
        </w:rPr>
        <w:t>establish</w:t>
      </w:r>
      <w:r w:rsidR="000D3074" w:rsidRPr="00AA5661">
        <w:rPr>
          <w:rFonts w:ascii="Gill Sans MT" w:hAnsi="Gill Sans MT"/>
          <w:sz w:val="24"/>
          <w:szCs w:val="24"/>
        </w:rPr>
        <w:t>ed to strike the appropriate balance between incentivising return to work and avoiding undue financial hardship on the worker</w:t>
      </w:r>
      <w:r w:rsidR="00C82D9E" w:rsidRPr="00AA5661">
        <w:rPr>
          <w:rFonts w:ascii="Gill Sans MT" w:hAnsi="Gill Sans MT"/>
          <w:sz w:val="24"/>
          <w:szCs w:val="24"/>
        </w:rPr>
        <w:t>.</w:t>
      </w:r>
    </w:p>
    <w:p w:rsidR="000D3074" w:rsidRPr="00AA5661" w:rsidRDefault="00FF36FB" w:rsidP="00E87593">
      <w:pPr>
        <w:rPr>
          <w:rFonts w:ascii="Gill Sans MT" w:hAnsi="Gill Sans MT"/>
          <w:sz w:val="24"/>
          <w:szCs w:val="24"/>
        </w:rPr>
      </w:pPr>
      <w:r w:rsidRPr="00AA5661">
        <w:rPr>
          <w:rFonts w:ascii="Gill Sans MT" w:hAnsi="Gill Sans MT"/>
          <w:sz w:val="24"/>
          <w:szCs w:val="24"/>
        </w:rPr>
        <w:t xml:space="preserve">There is </w:t>
      </w:r>
      <w:r w:rsidR="000D3074" w:rsidRPr="00AA5661">
        <w:rPr>
          <w:rFonts w:ascii="Gill Sans MT" w:hAnsi="Gill Sans MT"/>
          <w:sz w:val="24"/>
          <w:szCs w:val="24"/>
        </w:rPr>
        <w:t xml:space="preserve">also </w:t>
      </w:r>
      <w:r w:rsidRPr="00AA5661">
        <w:rPr>
          <w:rFonts w:ascii="Gill Sans MT" w:hAnsi="Gill Sans MT"/>
          <w:sz w:val="24"/>
          <w:szCs w:val="24"/>
        </w:rPr>
        <w:t>a cap on the duration of weekly payment</w:t>
      </w:r>
      <w:r w:rsidR="00C82D9E" w:rsidRPr="00AA5661">
        <w:rPr>
          <w:rFonts w:ascii="Gill Sans MT" w:hAnsi="Gill Sans MT"/>
          <w:sz w:val="24"/>
          <w:szCs w:val="24"/>
        </w:rPr>
        <w:t>s</w:t>
      </w:r>
      <w:r w:rsidRPr="00AA5661">
        <w:rPr>
          <w:rFonts w:ascii="Gill Sans MT" w:hAnsi="Gill Sans MT"/>
          <w:sz w:val="24"/>
          <w:szCs w:val="24"/>
        </w:rPr>
        <w:t xml:space="preserve"> based on the level of whole person impairment.  However, where the whole person impairment is 30% or higher, there is no cap on the lengt</w:t>
      </w:r>
      <w:r w:rsidR="000D3074" w:rsidRPr="00AA5661">
        <w:rPr>
          <w:rFonts w:ascii="Gill Sans MT" w:hAnsi="Gill Sans MT"/>
          <w:sz w:val="24"/>
          <w:szCs w:val="24"/>
        </w:rPr>
        <w:t xml:space="preserve">h of payment. </w:t>
      </w:r>
      <w:r w:rsidRPr="00AA5661">
        <w:rPr>
          <w:rFonts w:ascii="Gill Sans MT" w:hAnsi="Gill Sans MT"/>
          <w:sz w:val="24"/>
          <w:szCs w:val="24"/>
        </w:rPr>
        <w:t xml:space="preserve"> </w:t>
      </w:r>
      <w:r w:rsidR="000D3074" w:rsidRPr="00AA5661">
        <w:rPr>
          <w:rFonts w:ascii="Gill Sans MT" w:hAnsi="Gill Sans MT"/>
          <w:sz w:val="24"/>
          <w:szCs w:val="24"/>
        </w:rPr>
        <w:t>Therefore, the removal of age restrictions in Tasmania without some other cessation clause will, in some cases of serious injury, impose a liability on an employer conceivably for the term of the worker’s life. This would be a move away from the ‘employability’ model, which is the basis of the current system, towards a ‘lifetime liability’ model.</w:t>
      </w:r>
    </w:p>
    <w:p w:rsidR="00540126" w:rsidRPr="00AA5661" w:rsidRDefault="000D3074" w:rsidP="00AD5075">
      <w:pPr>
        <w:rPr>
          <w:rFonts w:ascii="Gill Sans MT" w:hAnsi="Gill Sans MT"/>
          <w:sz w:val="24"/>
          <w:szCs w:val="24"/>
        </w:rPr>
      </w:pPr>
      <w:bookmarkStart w:id="0" w:name="_GoBack"/>
      <w:r w:rsidRPr="00AA5661">
        <w:rPr>
          <w:rFonts w:ascii="Gill Sans MT" w:hAnsi="Gill Sans MT"/>
          <w:sz w:val="24"/>
          <w:szCs w:val="24"/>
        </w:rPr>
        <w:t xml:space="preserve">Such a change would be a policy shift that would go </w:t>
      </w:r>
      <w:r w:rsidR="00C16FF5" w:rsidRPr="00AA5661">
        <w:rPr>
          <w:rFonts w:ascii="Gill Sans MT" w:hAnsi="Gill Sans MT"/>
          <w:sz w:val="24"/>
          <w:szCs w:val="24"/>
        </w:rPr>
        <w:t xml:space="preserve">to the objectives and purpose of the </w:t>
      </w:r>
      <w:bookmarkEnd w:id="0"/>
      <w:r w:rsidR="00C16FF5" w:rsidRPr="00AA5661">
        <w:rPr>
          <w:rFonts w:ascii="Gill Sans MT" w:hAnsi="Gill Sans MT"/>
          <w:sz w:val="24"/>
          <w:szCs w:val="24"/>
        </w:rPr>
        <w:t xml:space="preserve">scheme. </w:t>
      </w:r>
      <w:r w:rsidR="00876C62" w:rsidRPr="00AA5661">
        <w:rPr>
          <w:rFonts w:ascii="Gill Sans MT" w:hAnsi="Gill Sans MT"/>
          <w:sz w:val="24"/>
          <w:szCs w:val="24"/>
        </w:rPr>
        <w:t xml:space="preserve">The Tasmanian scheme was not established as a whole-of-life insurance scheme </w:t>
      </w:r>
      <w:r w:rsidR="00540126" w:rsidRPr="00AA5661">
        <w:rPr>
          <w:rFonts w:ascii="Gill Sans MT" w:hAnsi="Gill Sans MT"/>
          <w:sz w:val="24"/>
          <w:szCs w:val="24"/>
        </w:rPr>
        <w:t>or social security scheme.  It operates</w:t>
      </w:r>
      <w:r w:rsidR="00876C62" w:rsidRPr="00AA5661">
        <w:rPr>
          <w:rFonts w:ascii="Gill Sans MT" w:hAnsi="Gill Sans MT"/>
          <w:sz w:val="24"/>
          <w:szCs w:val="24"/>
        </w:rPr>
        <w:t xml:space="preserve"> in </w:t>
      </w:r>
      <w:r w:rsidR="00540126" w:rsidRPr="00AA5661">
        <w:rPr>
          <w:rFonts w:ascii="Gill Sans MT" w:hAnsi="Gill Sans MT"/>
          <w:sz w:val="24"/>
          <w:szCs w:val="24"/>
        </w:rPr>
        <w:t xml:space="preserve">the context that there are number of products, including superannuation and the age pension, that provide income to individuals at the end of their working lives. </w:t>
      </w:r>
      <w:r w:rsidR="00C82D9E" w:rsidRPr="00AA5661">
        <w:rPr>
          <w:rFonts w:ascii="Gill Sans MT" w:hAnsi="Gill Sans MT"/>
          <w:sz w:val="24"/>
          <w:szCs w:val="24"/>
        </w:rPr>
        <w:t xml:space="preserve">Section 87 allows for the cessation of payments at an age where these other funding sources are potentially available. </w:t>
      </w:r>
      <w:r w:rsidR="00DB22E2">
        <w:rPr>
          <w:rFonts w:ascii="Gill Sans MT" w:hAnsi="Gill Sans MT"/>
          <w:sz w:val="24"/>
          <w:szCs w:val="24"/>
        </w:rPr>
        <w:t>(Although it is recognised that these may not be available to all former workers, the age pension, in particular, provides a safety-net to those former workers in</w:t>
      </w:r>
      <w:r w:rsidR="00B04A67">
        <w:rPr>
          <w:rFonts w:ascii="Gill Sans MT" w:hAnsi="Gill Sans MT"/>
          <w:sz w:val="24"/>
          <w:szCs w:val="24"/>
        </w:rPr>
        <w:t xml:space="preserve"> most need).</w:t>
      </w:r>
      <w:r w:rsidR="00C82D9E" w:rsidRPr="00AA5661">
        <w:rPr>
          <w:rFonts w:ascii="Gill Sans MT" w:hAnsi="Gill Sans MT"/>
          <w:sz w:val="24"/>
          <w:szCs w:val="24"/>
        </w:rPr>
        <w:t xml:space="preserve"> </w:t>
      </w:r>
    </w:p>
    <w:p w:rsidR="000A5A12" w:rsidRPr="00AA5661" w:rsidRDefault="00540126" w:rsidP="00AD5075">
      <w:pPr>
        <w:rPr>
          <w:rFonts w:ascii="Gill Sans MT" w:hAnsi="Gill Sans MT"/>
          <w:sz w:val="24"/>
          <w:szCs w:val="24"/>
        </w:rPr>
      </w:pPr>
      <w:r w:rsidRPr="00AA5661">
        <w:rPr>
          <w:rFonts w:ascii="Gill Sans MT" w:hAnsi="Gill Sans MT"/>
          <w:sz w:val="24"/>
          <w:szCs w:val="24"/>
        </w:rPr>
        <w:t>While</w:t>
      </w:r>
      <w:r w:rsidR="00B04A67">
        <w:rPr>
          <w:rFonts w:ascii="Gill Sans MT" w:hAnsi="Gill Sans MT"/>
          <w:sz w:val="24"/>
          <w:szCs w:val="24"/>
        </w:rPr>
        <w:t xml:space="preserve"> s</w:t>
      </w:r>
      <w:r w:rsidR="00876C62" w:rsidRPr="00AA5661">
        <w:rPr>
          <w:rFonts w:ascii="Gill Sans MT" w:hAnsi="Gill Sans MT"/>
          <w:sz w:val="24"/>
          <w:szCs w:val="24"/>
        </w:rPr>
        <w:t xml:space="preserve">ection 87 limits the entitlement of an injured worker’s </w:t>
      </w:r>
      <w:r w:rsidR="00CA4429" w:rsidRPr="00AA5661">
        <w:rPr>
          <w:rFonts w:ascii="Gill Sans MT" w:hAnsi="Gill Sans MT"/>
          <w:sz w:val="24"/>
          <w:szCs w:val="24"/>
        </w:rPr>
        <w:t xml:space="preserve">weekly </w:t>
      </w:r>
      <w:r w:rsidR="00876C62" w:rsidRPr="00AA5661">
        <w:rPr>
          <w:rFonts w:ascii="Gill Sans MT" w:hAnsi="Gill Sans MT"/>
          <w:sz w:val="24"/>
          <w:szCs w:val="24"/>
        </w:rPr>
        <w:t xml:space="preserve">compensation payments </w:t>
      </w:r>
      <w:r w:rsidR="00CA4429" w:rsidRPr="00AA5661">
        <w:rPr>
          <w:rFonts w:ascii="Gill Sans MT" w:hAnsi="Gill Sans MT"/>
          <w:sz w:val="24"/>
          <w:szCs w:val="24"/>
        </w:rPr>
        <w:t>on the basis of age, it takes into account that workers may have planned to work beyond pension age, by allowing the Tribunal to determine (if satisfied of certain matters after application by the injured person) that those payments are to be continued for a period determined by the Tribunal.</w:t>
      </w:r>
      <w:r w:rsidR="008A0782" w:rsidRPr="00AA5661">
        <w:rPr>
          <w:rFonts w:ascii="Gill Sans MT" w:hAnsi="Gill Sans MT"/>
          <w:sz w:val="24"/>
          <w:szCs w:val="24"/>
        </w:rPr>
        <w:t xml:space="preserve">  The Board’s review found that this flexibility was not offered by any other state or territory.</w:t>
      </w:r>
    </w:p>
    <w:p w:rsidR="008A0782" w:rsidRPr="00AA5661" w:rsidRDefault="008A0782" w:rsidP="00AD5075">
      <w:pPr>
        <w:rPr>
          <w:rFonts w:ascii="Gill Sans MT" w:hAnsi="Gill Sans MT"/>
          <w:sz w:val="24"/>
          <w:szCs w:val="24"/>
        </w:rPr>
      </w:pPr>
      <w:r w:rsidRPr="00AA5661">
        <w:rPr>
          <w:rFonts w:ascii="Gill Sans MT" w:hAnsi="Gill Sans MT"/>
          <w:sz w:val="24"/>
          <w:szCs w:val="24"/>
        </w:rPr>
        <w:t xml:space="preserve">The Board’s proposal to extend the time-frames in section 87(1) will allow more injured workers to receive weekly payments for longer.  The flexibility for the Tribunal to extend </w:t>
      </w:r>
      <w:r w:rsidRPr="00AA5661">
        <w:rPr>
          <w:rFonts w:ascii="Gill Sans MT" w:hAnsi="Gill Sans MT"/>
          <w:sz w:val="24"/>
          <w:szCs w:val="24"/>
        </w:rPr>
        <w:lastRenderedPageBreak/>
        <w:t>these payments, on a case by case basis (upon application) will remain.</w:t>
      </w:r>
      <w:r w:rsidR="0092487E" w:rsidRPr="00AA5661">
        <w:rPr>
          <w:rFonts w:ascii="Gill Sans MT" w:hAnsi="Gill Sans MT"/>
          <w:sz w:val="24"/>
          <w:szCs w:val="24"/>
        </w:rPr>
        <w:t xml:space="preserve">  The proposal is affordable and remains within the scope of the existing scheme.</w:t>
      </w:r>
    </w:p>
    <w:p w:rsidR="0050243B" w:rsidRPr="00AA5661" w:rsidRDefault="0050243B" w:rsidP="00AD5075">
      <w:pPr>
        <w:rPr>
          <w:rFonts w:ascii="Gill Sans MT" w:hAnsi="Gill Sans MT"/>
          <w:b/>
          <w:sz w:val="24"/>
          <w:szCs w:val="24"/>
        </w:rPr>
      </w:pPr>
      <w:r w:rsidRPr="00AA5661">
        <w:rPr>
          <w:rFonts w:ascii="Gill Sans MT" w:hAnsi="Gill Sans MT"/>
          <w:b/>
          <w:sz w:val="24"/>
          <w:szCs w:val="24"/>
        </w:rPr>
        <w:t>Outcome</w:t>
      </w:r>
    </w:p>
    <w:p w:rsidR="0050243B" w:rsidRPr="00AA5661" w:rsidRDefault="0050243B" w:rsidP="00AD5075">
      <w:pPr>
        <w:rPr>
          <w:rFonts w:ascii="Gill Sans MT" w:hAnsi="Gill Sans MT"/>
          <w:sz w:val="24"/>
          <w:szCs w:val="24"/>
        </w:rPr>
      </w:pPr>
      <w:r w:rsidRPr="00AA5661">
        <w:rPr>
          <w:rFonts w:ascii="Gill Sans MT" w:hAnsi="Gill Sans MT"/>
          <w:sz w:val="24"/>
          <w:szCs w:val="24"/>
        </w:rPr>
        <w:t>The Board’s recommendation to adopt Option 2 is supported by t</w:t>
      </w:r>
      <w:r w:rsidR="00C16FF5" w:rsidRPr="00AA5661">
        <w:rPr>
          <w:rFonts w:ascii="Gill Sans MT" w:hAnsi="Gill Sans MT"/>
          <w:sz w:val="24"/>
          <w:szCs w:val="24"/>
        </w:rPr>
        <w:t>he Government</w:t>
      </w:r>
      <w:r w:rsidRPr="00AA5661">
        <w:rPr>
          <w:rFonts w:ascii="Gill Sans MT" w:hAnsi="Gill Sans MT"/>
          <w:sz w:val="24"/>
          <w:szCs w:val="24"/>
        </w:rPr>
        <w:t>.</w:t>
      </w:r>
    </w:p>
    <w:p w:rsidR="00305CA1" w:rsidRPr="00AA5661" w:rsidRDefault="0050243B" w:rsidP="00AD5075">
      <w:pPr>
        <w:rPr>
          <w:rFonts w:ascii="Gill Sans MT" w:hAnsi="Gill Sans MT"/>
          <w:sz w:val="24"/>
          <w:szCs w:val="24"/>
        </w:rPr>
      </w:pPr>
      <w:r w:rsidRPr="00AA5661">
        <w:rPr>
          <w:rFonts w:ascii="Gill Sans MT" w:hAnsi="Gill Sans MT"/>
          <w:sz w:val="24"/>
          <w:szCs w:val="24"/>
        </w:rPr>
        <w:t>The Government</w:t>
      </w:r>
      <w:r w:rsidR="00C16FF5" w:rsidRPr="00AA5661">
        <w:rPr>
          <w:rFonts w:ascii="Gill Sans MT" w:hAnsi="Gill Sans MT"/>
          <w:sz w:val="24"/>
          <w:szCs w:val="24"/>
        </w:rPr>
        <w:t xml:space="preserve"> recognises that a number of stakeholders have raised concerns </w:t>
      </w:r>
      <w:r w:rsidR="00933BC1" w:rsidRPr="00AA5661">
        <w:rPr>
          <w:rFonts w:ascii="Gill Sans MT" w:hAnsi="Gill Sans MT"/>
          <w:sz w:val="24"/>
          <w:szCs w:val="24"/>
        </w:rPr>
        <w:t xml:space="preserve">about </w:t>
      </w:r>
      <w:r w:rsidR="0092487E" w:rsidRPr="00AA5661">
        <w:rPr>
          <w:rFonts w:ascii="Gill Sans MT" w:hAnsi="Gill Sans MT"/>
          <w:sz w:val="24"/>
          <w:szCs w:val="24"/>
        </w:rPr>
        <w:t xml:space="preserve">the requirement for an injured worker to initiate an application and provide evidence to the Tribunal under section 87(2) in order to receive </w:t>
      </w:r>
      <w:r w:rsidR="00C16FF5" w:rsidRPr="00AA5661">
        <w:rPr>
          <w:rFonts w:ascii="Gill Sans MT" w:hAnsi="Gill Sans MT"/>
          <w:sz w:val="24"/>
          <w:szCs w:val="24"/>
        </w:rPr>
        <w:t>payments for a longer period. T</w:t>
      </w:r>
      <w:r w:rsidR="0092487E" w:rsidRPr="00AA5661">
        <w:rPr>
          <w:rFonts w:ascii="Gill Sans MT" w:hAnsi="Gill Sans MT"/>
          <w:sz w:val="24"/>
          <w:szCs w:val="24"/>
        </w:rPr>
        <w:t xml:space="preserve">he Government will </w:t>
      </w:r>
      <w:r w:rsidR="00C16FF5" w:rsidRPr="00AA5661">
        <w:rPr>
          <w:rFonts w:ascii="Gill Sans MT" w:hAnsi="Gill Sans MT"/>
          <w:sz w:val="24"/>
          <w:szCs w:val="24"/>
        </w:rPr>
        <w:t xml:space="preserve">work with stakeholders to ensure applicants are </w:t>
      </w:r>
      <w:r w:rsidR="008024A1" w:rsidRPr="00AA5661">
        <w:rPr>
          <w:rFonts w:ascii="Gill Sans MT" w:hAnsi="Gill Sans MT"/>
          <w:sz w:val="24"/>
          <w:szCs w:val="24"/>
        </w:rPr>
        <w:t xml:space="preserve">supported through the process.  </w:t>
      </w:r>
    </w:p>
    <w:p w:rsidR="00340B60" w:rsidRPr="00AA5661" w:rsidRDefault="00340B60" w:rsidP="00340B60">
      <w:pPr>
        <w:rPr>
          <w:rFonts w:ascii="Gill Sans MT" w:hAnsi="Gill Sans MT"/>
          <w:b/>
          <w:sz w:val="24"/>
          <w:szCs w:val="24"/>
        </w:rPr>
      </w:pPr>
      <w:r w:rsidRPr="00AA5661">
        <w:rPr>
          <w:rFonts w:ascii="Gill Sans MT" w:hAnsi="Gill Sans MT"/>
          <w:b/>
          <w:sz w:val="24"/>
          <w:szCs w:val="24"/>
        </w:rPr>
        <w:t>The Draft Bill</w:t>
      </w:r>
    </w:p>
    <w:p w:rsidR="00340B60" w:rsidRPr="00AA5661" w:rsidRDefault="00340B60" w:rsidP="00340B60">
      <w:pPr>
        <w:rPr>
          <w:rFonts w:ascii="Gill Sans MT" w:hAnsi="Gill Sans MT"/>
          <w:sz w:val="24"/>
          <w:szCs w:val="24"/>
        </w:rPr>
      </w:pPr>
      <w:r w:rsidRPr="00AA5661">
        <w:rPr>
          <w:rFonts w:ascii="Gill Sans MT" w:hAnsi="Gill Sans MT"/>
          <w:sz w:val="24"/>
          <w:szCs w:val="24"/>
        </w:rPr>
        <w:t xml:space="preserve">Clause 5 of the Draft Bill delivers the Board’s recommended policy change, and clarifies the intent of the existing provisions.  In the interests of clarity, and consistency in the way time is calculated, the changes are worded differently to the Board’s recommendation.  </w:t>
      </w:r>
      <w:r w:rsidR="00B04A67">
        <w:rPr>
          <w:rFonts w:ascii="Gill Sans MT" w:hAnsi="Gill Sans MT"/>
          <w:sz w:val="24"/>
          <w:szCs w:val="24"/>
        </w:rPr>
        <w:t>Nevertheless, they achieve the same outcome.</w:t>
      </w:r>
    </w:p>
    <w:p w:rsidR="00340B60" w:rsidRPr="00AA5661" w:rsidRDefault="00340B60" w:rsidP="00340B60">
      <w:pPr>
        <w:rPr>
          <w:rFonts w:ascii="Gill Sans MT" w:hAnsi="Gill Sans MT"/>
          <w:sz w:val="24"/>
          <w:szCs w:val="24"/>
        </w:rPr>
      </w:pPr>
      <w:r w:rsidRPr="00AA5661">
        <w:rPr>
          <w:rFonts w:ascii="Gill Sans MT" w:hAnsi="Gill Sans MT"/>
          <w:sz w:val="24"/>
          <w:szCs w:val="24"/>
        </w:rPr>
        <w:t>The Bill also makes the following clarifications:</w:t>
      </w:r>
    </w:p>
    <w:p w:rsidR="00F86ACE" w:rsidRPr="00AA5661" w:rsidRDefault="00F86ACE" w:rsidP="00AD5075">
      <w:pPr>
        <w:rPr>
          <w:rFonts w:ascii="Gill Sans MT" w:hAnsi="Gill Sans MT"/>
          <w:i/>
          <w:sz w:val="24"/>
          <w:szCs w:val="24"/>
          <w:u w:val="single"/>
        </w:rPr>
      </w:pPr>
      <w:r w:rsidRPr="00AA5661">
        <w:rPr>
          <w:rFonts w:ascii="Gill Sans MT" w:hAnsi="Gill Sans MT"/>
          <w:i/>
          <w:sz w:val="24"/>
          <w:szCs w:val="24"/>
          <w:u w:val="single"/>
        </w:rPr>
        <w:t xml:space="preserve">Interpretation of </w:t>
      </w:r>
      <w:r w:rsidR="00340B60" w:rsidRPr="00AA5661">
        <w:rPr>
          <w:rFonts w:ascii="Gill Sans MT" w:hAnsi="Gill Sans MT"/>
          <w:i/>
          <w:sz w:val="24"/>
          <w:szCs w:val="24"/>
          <w:u w:val="single"/>
        </w:rPr>
        <w:t xml:space="preserve">existing </w:t>
      </w:r>
      <w:r w:rsidRPr="00AA5661">
        <w:rPr>
          <w:rFonts w:ascii="Gill Sans MT" w:hAnsi="Gill Sans MT"/>
          <w:i/>
          <w:sz w:val="24"/>
          <w:szCs w:val="24"/>
          <w:u w:val="single"/>
        </w:rPr>
        <w:t>section 87(1)</w:t>
      </w:r>
    </w:p>
    <w:p w:rsidR="00917FDB" w:rsidRPr="00AA5661" w:rsidRDefault="00504C4B" w:rsidP="00AD5075">
      <w:pPr>
        <w:rPr>
          <w:rFonts w:ascii="Gill Sans MT" w:hAnsi="Gill Sans MT"/>
          <w:sz w:val="24"/>
          <w:szCs w:val="24"/>
        </w:rPr>
      </w:pPr>
      <w:r w:rsidRPr="00AA5661">
        <w:rPr>
          <w:rFonts w:ascii="Gill Sans MT" w:hAnsi="Gill Sans MT"/>
          <w:sz w:val="24"/>
          <w:szCs w:val="24"/>
        </w:rPr>
        <w:t>In recent years there has been</w:t>
      </w:r>
      <w:r w:rsidR="00652638" w:rsidRPr="00AA5661">
        <w:rPr>
          <w:rFonts w:ascii="Gill Sans MT" w:hAnsi="Gill Sans MT"/>
          <w:sz w:val="24"/>
          <w:szCs w:val="24"/>
        </w:rPr>
        <w:t xml:space="preserve"> some confusion as to whether section </w:t>
      </w:r>
      <w:r w:rsidRPr="00AA5661">
        <w:rPr>
          <w:rFonts w:ascii="Gill Sans MT" w:hAnsi="Gill Sans MT"/>
          <w:sz w:val="24"/>
          <w:szCs w:val="24"/>
        </w:rPr>
        <w:t>87(1</w:t>
      </w:r>
      <w:proofErr w:type="gramStart"/>
      <w:r w:rsidRPr="00AA5661">
        <w:rPr>
          <w:rFonts w:ascii="Gill Sans MT" w:hAnsi="Gill Sans MT"/>
          <w:sz w:val="24"/>
          <w:szCs w:val="24"/>
        </w:rPr>
        <w:t>)(</w:t>
      </w:r>
      <w:proofErr w:type="gramEnd"/>
      <w:r w:rsidRPr="00AA5661">
        <w:rPr>
          <w:rFonts w:ascii="Gill Sans MT" w:hAnsi="Gill Sans MT"/>
          <w:sz w:val="24"/>
          <w:szCs w:val="24"/>
        </w:rPr>
        <w:t xml:space="preserve">b) (as currently drafted) is applicable to workers who are injured after pension age.  </w:t>
      </w:r>
    </w:p>
    <w:p w:rsidR="00652638" w:rsidRPr="00AA5661" w:rsidRDefault="00652638" w:rsidP="00AD5075">
      <w:pPr>
        <w:rPr>
          <w:rFonts w:ascii="Gill Sans MT" w:hAnsi="Gill Sans MT"/>
          <w:sz w:val="24"/>
          <w:szCs w:val="24"/>
        </w:rPr>
      </w:pPr>
      <w:r w:rsidRPr="00AA5661">
        <w:rPr>
          <w:rFonts w:ascii="Gill Sans MT" w:hAnsi="Gill Sans MT"/>
          <w:sz w:val="24"/>
          <w:szCs w:val="24"/>
        </w:rPr>
        <w:t>Under the pre-2018 version of section 87(1</w:t>
      </w:r>
      <w:proofErr w:type="gramStart"/>
      <w:r w:rsidRPr="00AA5661">
        <w:rPr>
          <w:rFonts w:ascii="Gill Sans MT" w:hAnsi="Gill Sans MT"/>
          <w:sz w:val="24"/>
          <w:szCs w:val="24"/>
        </w:rPr>
        <w:t>)(</w:t>
      </w:r>
      <w:proofErr w:type="gramEnd"/>
      <w:r w:rsidRPr="00AA5661">
        <w:rPr>
          <w:rFonts w:ascii="Gill Sans MT" w:hAnsi="Gill Sans MT"/>
          <w:sz w:val="24"/>
          <w:szCs w:val="24"/>
        </w:rPr>
        <w:t xml:space="preserve">b), if a worker was injured after </w:t>
      </w:r>
      <w:r w:rsidR="008B3619" w:rsidRPr="00AA5661">
        <w:rPr>
          <w:rFonts w:ascii="Gill Sans MT" w:hAnsi="Gill Sans MT"/>
          <w:sz w:val="24"/>
          <w:szCs w:val="24"/>
        </w:rPr>
        <w:t xml:space="preserve">the date of </w:t>
      </w:r>
      <w:r w:rsidRPr="00AA5661">
        <w:rPr>
          <w:rFonts w:ascii="Gill Sans MT" w:hAnsi="Gill Sans MT"/>
          <w:sz w:val="24"/>
          <w:szCs w:val="24"/>
        </w:rPr>
        <w:t>turning 64, his or her entitlement to weekly payments would cease 12 months after the date of injury</w:t>
      </w:r>
      <w:r w:rsidR="00917FDB" w:rsidRPr="00AA5661">
        <w:rPr>
          <w:rFonts w:ascii="Gill Sans MT" w:hAnsi="Gill Sans MT"/>
          <w:sz w:val="24"/>
          <w:szCs w:val="24"/>
        </w:rPr>
        <w:t>.</w:t>
      </w:r>
    </w:p>
    <w:p w:rsidR="003758EA" w:rsidRDefault="00504C4B" w:rsidP="00AD5075">
      <w:pPr>
        <w:rPr>
          <w:rFonts w:ascii="Gill Sans MT" w:hAnsi="Gill Sans MT"/>
          <w:sz w:val="24"/>
          <w:szCs w:val="24"/>
        </w:rPr>
      </w:pPr>
      <w:r w:rsidRPr="00AA5661">
        <w:rPr>
          <w:rFonts w:ascii="Gill Sans MT" w:hAnsi="Gill Sans MT"/>
          <w:sz w:val="24"/>
          <w:szCs w:val="24"/>
        </w:rPr>
        <w:t xml:space="preserve">It </w:t>
      </w:r>
      <w:r w:rsidR="00652638" w:rsidRPr="00AA5661">
        <w:rPr>
          <w:rFonts w:ascii="Gill Sans MT" w:hAnsi="Gill Sans MT"/>
          <w:sz w:val="24"/>
          <w:szCs w:val="24"/>
        </w:rPr>
        <w:t xml:space="preserve">was </w:t>
      </w:r>
      <w:r w:rsidRPr="00AA5661">
        <w:rPr>
          <w:rFonts w:ascii="Gill Sans MT" w:hAnsi="Gill Sans MT"/>
          <w:sz w:val="24"/>
          <w:szCs w:val="24"/>
        </w:rPr>
        <w:t>the intent that the 2018 amendment</w:t>
      </w:r>
      <w:r w:rsidR="008B3619" w:rsidRPr="00AA5661">
        <w:rPr>
          <w:rFonts w:ascii="Gill Sans MT" w:hAnsi="Gill Sans MT"/>
          <w:sz w:val="24"/>
          <w:szCs w:val="24"/>
        </w:rPr>
        <w:t>s</w:t>
      </w:r>
      <w:r w:rsidRPr="00AA5661">
        <w:rPr>
          <w:rFonts w:ascii="Gill Sans MT" w:hAnsi="Gill Sans MT"/>
          <w:sz w:val="24"/>
          <w:szCs w:val="24"/>
        </w:rPr>
        <w:t xml:space="preserve"> </w:t>
      </w:r>
      <w:r w:rsidR="00917FDB" w:rsidRPr="00AA5661">
        <w:rPr>
          <w:rFonts w:ascii="Gill Sans MT" w:hAnsi="Gill Sans MT"/>
          <w:sz w:val="24"/>
          <w:szCs w:val="24"/>
        </w:rPr>
        <w:t>to section 87(1)</w:t>
      </w:r>
      <w:r w:rsidR="008B3619" w:rsidRPr="00AA5661">
        <w:rPr>
          <w:rFonts w:ascii="Gill Sans MT" w:hAnsi="Gill Sans MT"/>
          <w:sz w:val="24"/>
          <w:szCs w:val="24"/>
        </w:rPr>
        <w:t xml:space="preserve"> to personalise the specified ages so that 65</w:t>
      </w:r>
      <w:r w:rsidR="00501968" w:rsidRPr="00AA5661">
        <w:rPr>
          <w:rFonts w:ascii="Gill Sans MT" w:hAnsi="Gill Sans MT"/>
          <w:sz w:val="24"/>
          <w:szCs w:val="24"/>
        </w:rPr>
        <w:t xml:space="preserve"> would </w:t>
      </w:r>
      <w:r w:rsidR="003758EA">
        <w:rPr>
          <w:rFonts w:ascii="Gill Sans MT" w:hAnsi="Gill Sans MT"/>
          <w:sz w:val="24"/>
          <w:szCs w:val="24"/>
        </w:rPr>
        <w:t xml:space="preserve">be </w:t>
      </w:r>
      <w:r w:rsidR="00501968" w:rsidRPr="00AA5661">
        <w:rPr>
          <w:rFonts w:ascii="Gill Sans MT" w:hAnsi="Gill Sans MT"/>
          <w:sz w:val="24"/>
          <w:szCs w:val="24"/>
        </w:rPr>
        <w:t xml:space="preserve">replaced by the worker’s age of eligibility for the </w:t>
      </w:r>
      <w:r w:rsidR="0050243B" w:rsidRPr="00AA5661">
        <w:rPr>
          <w:rFonts w:ascii="Gill Sans MT" w:hAnsi="Gill Sans MT"/>
          <w:sz w:val="24"/>
          <w:szCs w:val="24"/>
        </w:rPr>
        <w:t xml:space="preserve">age </w:t>
      </w:r>
      <w:r w:rsidR="00501968" w:rsidRPr="00AA5661">
        <w:rPr>
          <w:rFonts w:ascii="Gill Sans MT" w:hAnsi="Gill Sans MT"/>
          <w:sz w:val="24"/>
          <w:szCs w:val="24"/>
        </w:rPr>
        <w:t>pension</w:t>
      </w:r>
      <w:r w:rsidR="00DF0476">
        <w:rPr>
          <w:rFonts w:ascii="Gill Sans MT" w:hAnsi="Gill Sans MT"/>
          <w:sz w:val="24"/>
          <w:szCs w:val="24"/>
        </w:rPr>
        <w:t>,</w:t>
      </w:r>
      <w:r w:rsidR="00501968" w:rsidRPr="00AA5661">
        <w:rPr>
          <w:rFonts w:ascii="Gill Sans MT" w:hAnsi="Gill Sans MT"/>
          <w:sz w:val="24"/>
          <w:szCs w:val="24"/>
        </w:rPr>
        <w:t xml:space="preserve"> and 64 would become the age of the worker one year before that date.  However</w:t>
      </w:r>
      <w:r w:rsidR="0050243B" w:rsidRPr="00AA5661">
        <w:rPr>
          <w:rFonts w:ascii="Gill Sans MT" w:hAnsi="Gill Sans MT"/>
          <w:sz w:val="24"/>
          <w:szCs w:val="24"/>
        </w:rPr>
        <w:t>,</w:t>
      </w:r>
      <w:r w:rsidR="00501968" w:rsidRPr="00AA5661">
        <w:rPr>
          <w:rFonts w:ascii="Gill Sans MT" w:hAnsi="Gill Sans MT"/>
          <w:sz w:val="24"/>
          <w:szCs w:val="24"/>
        </w:rPr>
        <w:t xml:space="preserve"> in redrafting section 87(1</w:t>
      </w:r>
      <w:r w:rsidR="00747326" w:rsidRPr="00AA5661">
        <w:rPr>
          <w:rFonts w:ascii="Gill Sans MT" w:hAnsi="Gill Sans MT"/>
          <w:sz w:val="24"/>
          <w:szCs w:val="24"/>
        </w:rPr>
        <w:t>)(b)</w:t>
      </w:r>
      <w:r w:rsidR="005F08B5">
        <w:rPr>
          <w:rFonts w:ascii="Gill Sans MT" w:hAnsi="Gill Sans MT"/>
          <w:sz w:val="24"/>
          <w:szCs w:val="24"/>
        </w:rPr>
        <w:t xml:space="preserve">, the treatment of workers injured after </w:t>
      </w:r>
      <w:r w:rsidR="005F08B5" w:rsidRPr="003758EA">
        <w:rPr>
          <w:rFonts w:ascii="Gill Sans MT" w:hAnsi="Gill Sans MT"/>
          <w:sz w:val="24"/>
          <w:szCs w:val="24"/>
        </w:rPr>
        <w:t>attaining pension age became unclear because ‘</w:t>
      </w:r>
      <w:r w:rsidR="005F08B5" w:rsidRPr="003758EA">
        <w:rPr>
          <w:rFonts w:ascii="Gill Sans MT" w:hAnsi="Gill Sans MT"/>
          <w:i/>
          <w:sz w:val="24"/>
          <w:szCs w:val="24"/>
        </w:rPr>
        <w:t>a</w:t>
      </w:r>
      <w:r w:rsidR="005F08B5" w:rsidRPr="003758EA">
        <w:rPr>
          <w:rFonts w:ascii="Gill Sans MT" w:hAnsi="Gill Sans MT"/>
          <w:i/>
          <w:color w:val="000000"/>
          <w:sz w:val="24"/>
          <w:szCs w:val="24"/>
          <w:shd w:val="clear" w:color="auto" w:fill="FFFFFF"/>
        </w:rPr>
        <w:t>fter the date on which the worker attains the age of 64 years</w:t>
      </w:r>
      <w:r w:rsidR="005F08B5" w:rsidRPr="003758EA">
        <w:rPr>
          <w:rFonts w:ascii="Gill Sans MT" w:hAnsi="Gill Sans MT"/>
          <w:color w:val="000000"/>
          <w:sz w:val="24"/>
          <w:szCs w:val="24"/>
          <w:shd w:val="clear" w:color="auto" w:fill="FFFFFF"/>
        </w:rPr>
        <w:t xml:space="preserve">’ </w:t>
      </w:r>
      <w:r w:rsidR="005F08B5" w:rsidRPr="003758EA">
        <w:rPr>
          <w:rFonts w:ascii="Gill Sans MT" w:hAnsi="Gill Sans MT"/>
          <w:sz w:val="24"/>
          <w:szCs w:val="24"/>
        </w:rPr>
        <w:t>became ‘</w:t>
      </w:r>
      <w:r w:rsidR="005F08B5" w:rsidRPr="003758EA">
        <w:rPr>
          <w:rFonts w:ascii="Gill Sans MT" w:eastAsia="Times New Roman" w:hAnsi="Gill Sans MT" w:cs="Times New Roman"/>
          <w:i/>
          <w:color w:val="000000"/>
          <w:sz w:val="24"/>
          <w:szCs w:val="24"/>
          <w:lang w:eastAsia="en-AU"/>
        </w:rPr>
        <w:t>less than 12 months before the date on which the worker attains the pension age’</w:t>
      </w:r>
      <w:r w:rsidR="003758EA" w:rsidRPr="003758EA">
        <w:rPr>
          <w:rFonts w:ascii="Gill Sans MT" w:eastAsia="Times New Roman" w:hAnsi="Gill Sans MT" w:cs="Times New Roman"/>
          <w:i/>
          <w:color w:val="000000"/>
          <w:sz w:val="24"/>
          <w:szCs w:val="24"/>
          <w:lang w:eastAsia="en-AU"/>
        </w:rPr>
        <w:t>.</w:t>
      </w:r>
      <w:r w:rsidR="00747326" w:rsidRPr="00AA5661">
        <w:rPr>
          <w:rFonts w:ascii="Gill Sans MT" w:hAnsi="Gill Sans MT"/>
          <w:sz w:val="24"/>
          <w:szCs w:val="24"/>
        </w:rPr>
        <w:t xml:space="preserve"> </w:t>
      </w:r>
    </w:p>
    <w:p w:rsidR="00747326" w:rsidRPr="00AA5661" w:rsidRDefault="00747326" w:rsidP="00AD5075">
      <w:pPr>
        <w:rPr>
          <w:rFonts w:ascii="Gill Sans MT" w:hAnsi="Gill Sans MT"/>
          <w:sz w:val="24"/>
          <w:szCs w:val="24"/>
        </w:rPr>
      </w:pPr>
      <w:r w:rsidRPr="00AA5661">
        <w:rPr>
          <w:rFonts w:ascii="Gill Sans MT" w:hAnsi="Gill Sans MT"/>
          <w:sz w:val="24"/>
          <w:szCs w:val="24"/>
        </w:rPr>
        <w:t>On 1 July 2020, the Tribunal determined that section 87 did not apply in a particular case of a per</w:t>
      </w:r>
      <w:r w:rsidR="00114C58" w:rsidRPr="00AA5661">
        <w:rPr>
          <w:rFonts w:ascii="Gill Sans MT" w:hAnsi="Gill Sans MT"/>
          <w:sz w:val="24"/>
          <w:szCs w:val="24"/>
        </w:rPr>
        <w:t>son who was injured at work a</w:t>
      </w:r>
      <w:r w:rsidR="00DF0476">
        <w:rPr>
          <w:rFonts w:ascii="Gill Sans MT" w:hAnsi="Gill Sans MT"/>
          <w:sz w:val="24"/>
          <w:szCs w:val="24"/>
        </w:rPr>
        <w:t>t an age older than the person’s</w:t>
      </w:r>
      <w:r w:rsidR="00114C58" w:rsidRPr="00AA5661">
        <w:rPr>
          <w:rFonts w:ascii="Gill Sans MT" w:hAnsi="Gill Sans MT"/>
          <w:sz w:val="24"/>
          <w:szCs w:val="24"/>
        </w:rPr>
        <w:t xml:space="preserve"> pension age – P v Circular Head Livestock Transport Pty Ltd [2020] TASWRCT 24.  The Tribunal concluded that</w:t>
      </w:r>
      <w:r w:rsidR="00CF0487" w:rsidRPr="00AA5661">
        <w:rPr>
          <w:rFonts w:ascii="Gill Sans MT" w:hAnsi="Gill Sans MT"/>
          <w:sz w:val="24"/>
          <w:szCs w:val="24"/>
        </w:rPr>
        <w:t xml:space="preserve"> the current wording of section </w:t>
      </w:r>
      <w:r w:rsidR="00114C58" w:rsidRPr="00AA5661">
        <w:rPr>
          <w:rFonts w:ascii="Gill Sans MT" w:hAnsi="Gill Sans MT"/>
          <w:sz w:val="24"/>
          <w:szCs w:val="24"/>
        </w:rPr>
        <w:t xml:space="preserve">87 does not provide for the cessation </w:t>
      </w:r>
      <w:r w:rsidR="00DF0476">
        <w:rPr>
          <w:rFonts w:ascii="Gill Sans MT" w:hAnsi="Gill Sans MT"/>
          <w:sz w:val="24"/>
          <w:szCs w:val="24"/>
        </w:rPr>
        <w:t xml:space="preserve">of </w:t>
      </w:r>
      <w:r w:rsidR="00CF0487" w:rsidRPr="00AA5661">
        <w:rPr>
          <w:rFonts w:ascii="Gill Sans MT" w:hAnsi="Gill Sans MT"/>
          <w:sz w:val="24"/>
          <w:szCs w:val="24"/>
        </w:rPr>
        <w:t>weekly compensation payments to</w:t>
      </w:r>
      <w:r w:rsidR="00114C58" w:rsidRPr="00AA5661">
        <w:rPr>
          <w:rFonts w:ascii="Gill Sans MT" w:hAnsi="Gill Sans MT"/>
          <w:sz w:val="24"/>
          <w:szCs w:val="24"/>
        </w:rPr>
        <w:t xml:space="preserve"> </w:t>
      </w:r>
      <w:r w:rsidR="00DF0476">
        <w:rPr>
          <w:rFonts w:ascii="Gill Sans MT" w:hAnsi="Gill Sans MT"/>
          <w:sz w:val="24"/>
          <w:szCs w:val="24"/>
        </w:rPr>
        <w:t>a</w:t>
      </w:r>
      <w:r w:rsidR="00114C58" w:rsidRPr="00AA5661">
        <w:rPr>
          <w:rFonts w:ascii="Gill Sans MT" w:hAnsi="Gill Sans MT"/>
          <w:sz w:val="24"/>
          <w:szCs w:val="24"/>
        </w:rPr>
        <w:t xml:space="preserve"> worker </w:t>
      </w:r>
      <w:r w:rsidR="00CF0487" w:rsidRPr="00AA5661">
        <w:rPr>
          <w:rFonts w:ascii="Gill Sans MT" w:hAnsi="Gill Sans MT"/>
          <w:sz w:val="24"/>
          <w:szCs w:val="24"/>
        </w:rPr>
        <w:t xml:space="preserve">who is </w:t>
      </w:r>
      <w:r w:rsidR="00114C58" w:rsidRPr="00AA5661">
        <w:rPr>
          <w:rFonts w:ascii="Gill Sans MT" w:hAnsi="Gill Sans MT"/>
          <w:sz w:val="24"/>
          <w:szCs w:val="24"/>
        </w:rPr>
        <w:t xml:space="preserve">injured after </w:t>
      </w:r>
      <w:r w:rsidR="00CF0487" w:rsidRPr="00AA5661">
        <w:rPr>
          <w:rFonts w:ascii="Gill Sans MT" w:hAnsi="Gill Sans MT"/>
          <w:sz w:val="24"/>
          <w:szCs w:val="24"/>
        </w:rPr>
        <w:t>he or she reaches</w:t>
      </w:r>
      <w:r w:rsidR="00114C58" w:rsidRPr="00AA5661">
        <w:rPr>
          <w:rFonts w:ascii="Gill Sans MT" w:hAnsi="Gill Sans MT"/>
          <w:sz w:val="24"/>
          <w:szCs w:val="24"/>
        </w:rPr>
        <w:t xml:space="preserve"> pension age.</w:t>
      </w:r>
    </w:p>
    <w:p w:rsidR="00114C58" w:rsidRPr="00AA5661" w:rsidRDefault="00114C58" w:rsidP="00AD5075">
      <w:pPr>
        <w:rPr>
          <w:rFonts w:ascii="Gill Sans MT" w:hAnsi="Gill Sans MT"/>
          <w:sz w:val="24"/>
          <w:szCs w:val="24"/>
        </w:rPr>
      </w:pPr>
      <w:r w:rsidRPr="00AA5661">
        <w:rPr>
          <w:rFonts w:ascii="Gill Sans MT" w:hAnsi="Gill Sans MT"/>
          <w:sz w:val="24"/>
          <w:szCs w:val="24"/>
        </w:rPr>
        <w:t xml:space="preserve">The </w:t>
      </w:r>
      <w:r w:rsidR="00CF0487" w:rsidRPr="00AA5661">
        <w:rPr>
          <w:rFonts w:ascii="Gill Sans MT" w:hAnsi="Gill Sans MT"/>
          <w:sz w:val="24"/>
          <w:szCs w:val="24"/>
        </w:rPr>
        <w:t xml:space="preserve">proposed </w:t>
      </w:r>
      <w:r w:rsidRPr="00AA5661">
        <w:rPr>
          <w:rFonts w:ascii="Gill Sans MT" w:hAnsi="Gill Sans MT"/>
          <w:sz w:val="24"/>
          <w:szCs w:val="24"/>
        </w:rPr>
        <w:t xml:space="preserve">amendment </w:t>
      </w:r>
      <w:r w:rsidR="00CF0487" w:rsidRPr="00AA5661">
        <w:rPr>
          <w:rFonts w:ascii="Gill Sans MT" w:hAnsi="Gill Sans MT"/>
          <w:sz w:val="24"/>
          <w:szCs w:val="24"/>
        </w:rPr>
        <w:t xml:space="preserve">will </w:t>
      </w:r>
      <w:r w:rsidRPr="00AA5661">
        <w:rPr>
          <w:rFonts w:ascii="Gill Sans MT" w:hAnsi="Gill Sans MT"/>
          <w:sz w:val="24"/>
          <w:szCs w:val="24"/>
        </w:rPr>
        <w:t>rectif</w:t>
      </w:r>
      <w:r w:rsidR="00CF0487" w:rsidRPr="00AA5661">
        <w:rPr>
          <w:rFonts w:ascii="Gill Sans MT" w:hAnsi="Gill Sans MT"/>
          <w:sz w:val="24"/>
          <w:szCs w:val="24"/>
        </w:rPr>
        <w:t xml:space="preserve">y </w:t>
      </w:r>
      <w:r w:rsidRPr="00AA5661">
        <w:rPr>
          <w:rFonts w:ascii="Gill Sans MT" w:hAnsi="Gill Sans MT"/>
          <w:sz w:val="24"/>
          <w:szCs w:val="24"/>
        </w:rPr>
        <w:t xml:space="preserve">the lack of a specific reference </w:t>
      </w:r>
      <w:r w:rsidR="00762A87" w:rsidRPr="00AA5661">
        <w:rPr>
          <w:rFonts w:ascii="Gill Sans MT" w:hAnsi="Gill Sans MT"/>
          <w:sz w:val="24"/>
          <w:szCs w:val="24"/>
        </w:rPr>
        <w:t>to an injury</w:t>
      </w:r>
      <w:r w:rsidR="003758EA">
        <w:rPr>
          <w:rFonts w:ascii="Gill Sans MT" w:hAnsi="Gill Sans MT"/>
          <w:sz w:val="24"/>
          <w:szCs w:val="24"/>
        </w:rPr>
        <w:t xml:space="preserve"> occurring on or after the date</w:t>
      </w:r>
      <w:r w:rsidRPr="00AA5661">
        <w:rPr>
          <w:rFonts w:ascii="Gill Sans MT" w:hAnsi="Gill Sans MT"/>
          <w:sz w:val="24"/>
          <w:szCs w:val="24"/>
        </w:rPr>
        <w:t xml:space="preserve"> on which the worker atta</w:t>
      </w:r>
      <w:r w:rsidR="00B656A2" w:rsidRPr="00AA5661">
        <w:rPr>
          <w:rFonts w:ascii="Gill Sans MT" w:hAnsi="Gill Sans MT"/>
          <w:sz w:val="24"/>
          <w:szCs w:val="24"/>
        </w:rPr>
        <w:t>ins pension age</w:t>
      </w:r>
      <w:r w:rsidR="00762A87" w:rsidRPr="00AA5661">
        <w:rPr>
          <w:rFonts w:ascii="Gill Sans MT" w:hAnsi="Gill Sans MT"/>
          <w:sz w:val="24"/>
          <w:szCs w:val="24"/>
        </w:rPr>
        <w:t>,</w:t>
      </w:r>
      <w:r w:rsidR="00B656A2" w:rsidRPr="00AA5661">
        <w:rPr>
          <w:rFonts w:ascii="Gill Sans MT" w:hAnsi="Gill Sans MT"/>
          <w:sz w:val="24"/>
          <w:szCs w:val="24"/>
        </w:rPr>
        <w:t xml:space="preserve"> by including new subclause (c) to section 87(1) to make the intent clear.</w:t>
      </w:r>
    </w:p>
    <w:p w:rsidR="00B656A2" w:rsidRPr="00AA5661" w:rsidRDefault="00B656A2" w:rsidP="00AD5075">
      <w:pPr>
        <w:rPr>
          <w:rFonts w:ascii="Gill Sans MT" w:hAnsi="Gill Sans MT"/>
          <w:i/>
          <w:sz w:val="24"/>
          <w:szCs w:val="24"/>
          <w:u w:val="single"/>
        </w:rPr>
      </w:pPr>
      <w:r w:rsidRPr="00AA5661">
        <w:rPr>
          <w:rFonts w:ascii="Gill Sans MT" w:hAnsi="Gill Sans MT"/>
          <w:i/>
          <w:sz w:val="24"/>
          <w:szCs w:val="24"/>
          <w:u w:val="single"/>
        </w:rPr>
        <w:t xml:space="preserve">Consequential amendment and clarification </w:t>
      </w:r>
      <w:r w:rsidR="003758EA">
        <w:rPr>
          <w:rFonts w:ascii="Gill Sans MT" w:hAnsi="Gill Sans MT"/>
          <w:i/>
          <w:sz w:val="24"/>
          <w:szCs w:val="24"/>
          <w:u w:val="single"/>
        </w:rPr>
        <w:t>of</w:t>
      </w:r>
      <w:r w:rsidRPr="00AA5661">
        <w:rPr>
          <w:rFonts w:ascii="Gill Sans MT" w:hAnsi="Gill Sans MT"/>
          <w:i/>
          <w:sz w:val="24"/>
          <w:szCs w:val="24"/>
          <w:u w:val="single"/>
        </w:rPr>
        <w:t xml:space="preserve"> sections 87(2) and 87(3).</w:t>
      </w:r>
    </w:p>
    <w:p w:rsidR="003758EA" w:rsidRDefault="00B656A2" w:rsidP="00B10633">
      <w:pPr>
        <w:spacing w:before="240"/>
        <w:rPr>
          <w:rFonts w:ascii="Gill Sans MT" w:hAnsi="Gill Sans MT"/>
          <w:sz w:val="24"/>
          <w:szCs w:val="24"/>
        </w:rPr>
      </w:pPr>
      <w:r w:rsidRPr="00AA5661">
        <w:rPr>
          <w:rFonts w:ascii="Gill Sans MT" w:hAnsi="Gill Sans MT"/>
          <w:sz w:val="24"/>
          <w:szCs w:val="24"/>
        </w:rPr>
        <w:t xml:space="preserve">Subsections (2) and (3) of section 87 have also proved confusing. Their purpose is to allow an </w:t>
      </w:r>
      <w:r w:rsidR="00CF0487" w:rsidRPr="00AA5661">
        <w:rPr>
          <w:rFonts w:ascii="Gill Sans MT" w:hAnsi="Gill Sans MT"/>
          <w:sz w:val="24"/>
          <w:szCs w:val="24"/>
        </w:rPr>
        <w:t>application to be made</w:t>
      </w:r>
      <w:r w:rsidR="003758EA">
        <w:rPr>
          <w:rFonts w:ascii="Gill Sans MT" w:hAnsi="Gill Sans MT"/>
          <w:sz w:val="24"/>
          <w:szCs w:val="24"/>
        </w:rPr>
        <w:t xml:space="preserve"> to the Tribunal,</w:t>
      </w:r>
      <w:r w:rsidR="00CF0487" w:rsidRPr="00AA5661">
        <w:rPr>
          <w:rFonts w:ascii="Gill Sans MT" w:hAnsi="Gill Sans MT"/>
          <w:sz w:val="24"/>
          <w:szCs w:val="24"/>
        </w:rPr>
        <w:t xml:space="preserve"> and for </w:t>
      </w:r>
      <w:r w:rsidRPr="00AA5661">
        <w:rPr>
          <w:rFonts w:ascii="Gill Sans MT" w:hAnsi="Gill Sans MT"/>
          <w:sz w:val="24"/>
          <w:szCs w:val="24"/>
        </w:rPr>
        <w:t xml:space="preserve">the Tribunal to determine whether </w:t>
      </w:r>
      <w:r w:rsidRPr="00AA5661">
        <w:rPr>
          <w:rFonts w:ascii="Gill Sans MT" w:hAnsi="Gill Sans MT"/>
          <w:sz w:val="24"/>
          <w:szCs w:val="24"/>
        </w:rPr>
        <w:lastRenderedPageBreak/>
        <w:t xml:space="preserve">weekly compensation payments </w:t>
      </w:r>
      <w:r w:rsidR="00762A87" w:rsidRPr="00AA5661">
        <w:rPr>
          <w:rFonts w:ascii="Gill Sans MT" w:hAnsi="Gill Sans MT"/>
          <w:sz w:val="24"/>
          <w:szCs w:val="24"/>
        </w:rPr>
        <w:t xml:space="preserve">should be extended beyond the cessation dates mentioned in subsection (1).  However, </w:t>
      </w:r>
      <w:r w:rsidR="00B10633" w:rsidRPr="00AA5661">
        <w:rPr>
          <w:rFonts w:ascii="Gill Sans MT" w:hAnsi="Gill Sans MT"/>
          <w:sz w:val="24"/>
          <w:szCs w:val="24"/>
        </w:rPr>
        <w:t xml:space="preserve">the information required and matters on which the Tribunal must be satisfied under (2) and (3) </w:t>
      </w:r>
      <w:r w:rsidR="00DD7239" w:rsidRPr="00AA5661">
        <w:rPr>
          <w:rFonts w:ascii="Gill Sans MT" w:hAnsi="Gill Sans MT"/>
          <w:sz w:val="24"/>
          <w:szCs w:val="24"/>
        </w:rPr>
        <w:t xml:space="preserve">do not directly pertain to the decision to be made.  </w:t>
      </w:r>
    </w:p>
    <w:p w:rsidR="00683792" w:rsidRPr="00AA5661" w:rsidRDefault="00DD7239" w:rsidP="00B10633">
      <w:pPr>
        <w:spacing w:before="240"/>
        <w:rPr>
          <w:rFonts w:ascii="Gill Sans MT" w:hAnsi="Gill Sans MT"/>
          <w:sz w:val="24"/>
          <w:szCs w:val="24"/>
        </w:rPr>
      </w:pPr>
      <w:r w:rsidRPr="00AA5661">
        <w:rPr>
          <w:rFonts w:ascii="Gill Sans MT" w:hAnsi="Gill Sans MT"/>
          <w:sz w:val="24"/>
          <w:szCs w:val="24"/>
        </w:rPr>
        <w:t>The sections require the Tribunal to be satisfied on</w:t>
      </w:r>
      <w:r w:rsidR="00B10633" w:rsidRPr="00AA5661">
        <w:rPr>
          <w:rFonts w:ascii="Gill Sans MT" w:hAnsi="Gill Sans MT"/>
          <w:sz w:val="24"/>
          <w:szCs w:val="24"/>
        </w:rPr>
        <w:t xml:space="preserve"> whether or not</w:t>
      </w:r>
      <w:r w:rsidR="00CF0487" w:rsidRPr="00AA5661">
        <w:rPr>
          <w:rFonts w:ascii="Gill Sans MT" w:hAnsi="Gill Sans MT"/>
          <w:sz w:val="24"/>
          <w:szCs w:val="24"/>
        </w:rPr>
        <w:t>:</w:t>
      </w:r>
      <w:r w:rsidR="00B10633" w:rsidRPr="00AA5661">
        <w:rPr>
          <w:rFonts w:ascii="Gill Sans MT" w:hAnsi="Gill Sans MT"/>
          <w:sz w:val="24"/>
          <w:szCs w:val="24"/>
        </w:rPr>
        <w:t xml:space="preserve"> the terms of the </w:t>
      </w:r>
      <w:r w:rsidR="00683792" w:rsidRPr="00AA5661">
        <w:rPr>
          <w:rFonts w:ascii="Gill Sans MT" w:hAnsi="Gill Sans MT"/>
          <w:sz w:val="24"/>
          <w:szCs w:val="24"/>
        </w:rPr>
        <w:t>workers employ</w:t>
      </w:r>
      <w:r w:rsidR="00B10633" w:rsidRPr="00AA5661">
        <w:rPr>
          <w:rFonts w:ascii="Gill Sans MT" w:hAnsi="Gill Sans MT"/>
          <w:sz w:val="24"/>
          <w:szCs w:val="24"/>
        </w:rPr>
        <w:t xml:space="preserve">ment would have entitled </w:t>
      </w:r>
      <w:r w:rsidRPr="00AA5661">
        <w:rPr>
          <w:rFonts w:ascii="Gill Sans MT" w:hAnsi="Gill Sans MT"/>
          <w:sz w:val="24"/>
          <w:szCs w:val="24"/>
        </w:rPr>
        <w:t xml:space="preserve">the worker </w:t>
      </w:r>
      <w:r w:rsidR="00CF0487" w:rsidRPr="00AA5661">
        <w:rPr>
          <w:rFonts w:ascii="Gill Sans MT" w:hAnsi="Gill Sans MT"/>
          <w:sz w:val="24"/>
          <w:szCs w:val="24"/>
        </w:rPr>
        <w:t>to work beyond pension age;</w:t>
      </w:r>
      <w:r w:rsidR="00B10633" w:rsidRPr="00AA5661">
        <w:rPr>
          <w:rFonts w:ascii="Gill Sans MT" w:hAnsi="Gill Sans MT"/>
          <w:sz w:val="24"/>
          <w:szCs w:val="24"/>
        </w:rPr>
        <w:t xml:space="preserve"> the worker intended to do so</w:t>
      </w:r>
      <w:r w:rsidR="00CF0487" w:rsidRPr="00AA5661">
        <w:rPr>
          <w:rFonts w:ascii="Gill Sans MT" w:hAnsi="Gill Sans MT"/>
          <w:sz w:val="24"/>
          <w:szCs w:val="24"/>
        </w:rPr>
        <w:t>;</w:t>
      </w:r>
      <w:r w:rsidRPr="00AA5661">
        <w:rPr>
          <w:rFonts w:ascii="Gill Sans MT" w:hAnsi="Gill Sans MT"/>
          <w:sz w:val="24"/>
          <w:szCs w:val="24"/>
        </w:rPr>
        <w:t xml:space="preserve"> and the injury prevented it.  However the Tribunal must be determine </w:t>
      </w:r>
      <w:r w:rsidR="00B10633" w:rsidRPr="00AA5661">
        <w:rPr>
          <w:rFonts w:ascii="Gill Sans MT" w:hAnsi="Gill Sans MT"/>
          <w:sz w:val="24"/>
          <w:szCs w:val="24"/>
        </w:rPr>
        <w:t>whether and for how long payments should be made beyond the date for cessation of payments</w:t>
      </w:r>
      <w:r w:rsidRPr="00AA5661">
        <w:rPr>
          <w:rFonts w:ascii="Gill Sans MT" w:hAnsi="Gill Sans MT"/>
          <w:sz w:val="24"/>
          <w:szCs w:val="24"/>
        </w:rPr>
        <w:t>, and it would be more appropriate for the Tribunal to be satisfied of matters pertaining to this question.</w:t>
      </w:r>
    </w:p>
    <w:p w:rsidR="00683792" w:rsidRPr="00AA5661" w:rsidRDefault="00683792" w:rsidP="00B10633">
      <w:pPr>
        <w:spacing w:before="240"/>
        <w:rPr>
          <w:rFonts w:ascii="Gill Sans MT" w:hAnsi="Gill Sans MT"/>
          <w:sz w:val="24"/>
          <w:szCs w:val="24"/>
        </w:rPr>
      </w:pPr>
      <w:r w:rsidRPr="00AA5661">
        <w:rPr>
          <w:rFonts w:ascii="Gill Sans MT" w:hAnsi="Gill Sans MT"/>
          <w:sz w:val="24"/>
          <w:szCs w:val="24"/>
        </w:rPr>
        <w:t>The proposed amendment</w:t>
      </w:r>
      <w:r w:rsidR="00DD7239" w:rsidRPr="00AA5661">
        <w:rPr>
          <w:rFonts w:ascii="Gill Sans MT" w:hAnsi="Gill Sans MT"/>
          <w:sz w:val="24"/>
          <w:szCs w:val="24"/>
        </w:rPr>
        <w:t>s</w:t>
      </w:r>
      <w:r w:rsidRPr="00AA5661">
        <w:rPr>
          <w:rFonts w:ascii="Gill Sans MT" w:hAnsi="Gill Sans MT"/>
          <w:sz w:val="24"/>
          <w:szCs w:val="24"/>
        </w:rPr>
        <w:t xml:space="preserve"> align the grounds for an application and the basis for the Tribunal’s decision with the matters to be decided, by referring to the cessation date rather than the pension date.</w:t>
      </w:r>
    </w:p>
    <w:p w:rsidR="00DD7239" w:rsidRPr="00AA5661" w:rsidRDefault="00DD7239" w:rsidP="004C731E">
      <w:pPr>
        <w:ind w:left="2160" w:hanging="2160"/>
        <w:rPr>
          <w:rFonts w:ascii="Gill Sans MT" w:hAnsi="Gill Sans MT"/>
          <w:b/>
          <w:sz w:val="2"/>
          <w:szCs w:val="2"/>
        </w:rPr>
      </w:pPr>
    </w:p>
    <w:p w:rsidR="000C3069" w:rsidRPr="000C3069" w:rsidRDefault="000C3069" w:rsidP="004278C3">
      <w:pPr>
        <w:shd w:val="clear" w:color="auto" w:fill="FFFFFF"/>
        <w:spacing w:after="120" w:line="240" w:lineRule="auto"/>
        <w:rPr>
          <w:rFonts w:ascii="Gill Sans MT" w:eastAsia="Times New Roman" w:hAnsi="Gill Sans MT" w:cs="Times New Roman"/>
          <w:b/>
          <w:color w:val="000000"/>
          <w:sz w:val="24"/>
          <w:szCs w:val="24"/>
          <w:lang w:eastAsia="en-AU"/>
        </w:rPr>
      </w:pPr>
    </w:p>
    <w:sectPr w:rsidR="000C3069" w:rsidRPr="000C30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DA" w:rsidRDefault="005C43DA" w:rsidP="008024A1">
      <w:pPr>
        <w:spacing w:after="0" w:line="240" w:lineRule="auto"/>
      </w:pPr>
      <w:r>
        <w:separator/>
      </w:r>
    </w:p>
  </w:endnote>
  <w:endnote w:type="continuationSeparator" w:id="0">
    <w:p w:rsidR="005C43DA" w:rsidRDefault="005C43DA" w:rsidP="0080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049156"/>
      <w:docPartObj>
        <w:docPartGallery w:val="Page Numbers (Bottom of Page)"/>
        <w:docPartUnique/>
      </w:docPartObj>
    </w:sdtPr>
    <w:sdtEndPr>
      <w:rPr>
        <w:noProof/>
      </w:rPr>
    </w:sdtEndPr>
    <w:sdtContent>
      <w:p w:rsidR="007C3965" w:rsidRDefault="007C3965">
        <w:pPr>
          <w:pStyle w:val="Footer"/>
          <w:jc w:val="right"/>
        </w:pPr>
        <w:r>
          <w:fldChar w:fldCharType="begin"/>
        </w:r>
        <w:r>
          <w:instrText xml:space="preserve"> PAGE   \* MERGEFORMAT </w:instrText>
        </w:r>
        <w:r>
          <w:fldChar w:fldCharType="separate"/>
        </w:r>
        <w:r w:rsidR="00D43028">
          <w:rPr>
            <w:noProof/>
          </w:rPr>
          <w:t>8</w:t>
        </w:r>
        <w:r>
          <w:rPr>
            <w:noProof/>
          </w:rPr>
          <w:fldChar w:fldCharType="end"/>
        </w:r>
      </w:p>
    </w:sdtContent>
  </w:sdt>
  <w:p w:rsidR="007C3965" w:rsidRDefault="007C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DA" w:rsidRDefault="005C43DA" w:rsidP="008024A1">
      <w:pPr>
        <w:spacing w:after="0" w:line="240" w:lineRule="auto"/>
      </w:pPr>
      <w:r>
        <w:separator/>
      </w:r>
    </w:p>
  </w:footnote>
  <w:footnote w:type="continuationSeparator" w:id="0">
    <w:p w:rsidR="005C43DA" w:rsidRDefault="005C43DA" w:rsidP="00802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2196"/>
    <w:multiLevelType w:val="hybridMultilevel"/>
    <w:tmpl w:val="57AA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38265B"/>
    <w:multiLevelType w:val="hybridMultilevel"/>
    <w:tmpl w:val="5C3E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B851CB"/>
    <w:multiLevelType w:val="hybridMultilevel"/>
    <w:tmpl w:val="5D40EE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C971350"/>
    <w:multiLevelType w:val="hybridMultilevel"/>
    <w:tmpl w:val="3386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CB"/>
    <w:rsid w:val="00051270"/>
    <w:rsid w:val="00065E9A"/>
    <w:rsid w:val="00083C59"/>
    <w:rsid w:val="000A47E8"/>
    <w:rsid w:val="000A5A12"/>
    <w:rsid w:val="000C3069"/>
    <w:rsid w:val="000D3074"/>
    <w:rsid w:val="00114C58"/>
    <w:rsid w:val="0013285C"/>
    <w:rsid w:val="00146A60"/>
    <w:rsid w:val="001A07A0"/>
    <w:rsid w:val="001B79BF"/>
    <w:rsid w:val="001C0695"/>
    <w:rsid w:val="001D2F82"/>
    <w:rsid w:val="001F65A6"/>
    <w:rsid w:val="00253349"/>
    <w:rsid w:val="00256B41"/>
    <w:rsid w:val="00287188"/>
    <w:rsid w:val="002A63BA"/>
    <w:rsid w:val="002B367F"/>
    <w:rsid w:val="002D07B1"/>
    <w:rsid w:val="002E1FA8"/>
    <w:rsid w:val="00305008"/>
    <w:rsid w:val="00305CA1"/>
    <w:rsid w:val="00340B60"/>
    <w:rsid w:val="003561AA"/>
    <w:rsid w:val="003758EA"/>
    <w:rsid w:val="00377784"/>
    <w:rsid w:val="00396219"/>
    <w:rsid w:val="003E616D"/>
    <w:rsid w:val="003F6818"/>
    <w:rsid w:val="004245E3"/>
    <w:rsid w:val="004278C3"/>
    <w:rsid w:val="0043193C"/>
    <w:rsid w:val="004B65E0"/>
    <w:rsid w:val="004C72D1"/>
    <w:rsid w:val="004C731E"/>
    <w:rsid w:val="004E77C8"/>
    <w:rsid w:val="00501968"/>
    <w:rsid w:val="0050243B"/>
    <w:rsid w:val="00504846"/>
    <w:rsid w:val="00504C4B"/>
    <w:rsid w:val="005166DE"/>
    <w:rsid w:val="00540126"/>
    <w:rsid w:val="005537D7"/>
    <w:rsid w:val="00567DA4"/>
    <w:rsid w:val="005753E7"/>
    <w:rsid w:val="005C43DA"/>
    <w:rsid w:val="005E3E4B"/>
    <w:rsid w:val="005F08B5"/>
    <w:rsid w:val="00605783"/>
    <w:rsid w:val="006058A9"/>
    <w:rsid w:val="0062164E"/>
    <w:rsid w:val="00641BB7"/>
    <w:rsid w:val="006473F8"/>
    <w:rsid w:val="00652638"/>
    <w:rsid w:val="00683792"/>
    <w:rsid w:val="006F5616"/>
    <w:rsid w:val="00747326"/>
    <w:rsid w:val="00760060"/>
    <w:rsid w:val="00762A87"/>
    <w:rsid w:val="00795548"/>
    <w:rsid w:val="007C3965"/>
    <w:rsid w:val="008024A1"/>
    <w:rsid w:val="00826091"/>
    <w:rsid w:val="00844240"/>
    <w:rsid w:val="00876C62"/>
    <w:rsid w:val="0087738B"/>
    <w:rsid w:val="00887259"/>
    <w:rsid w:val="008A0782"/>
    <w:rsid w:val="008A27C8"/>
    <w:rsid w:val="008B3619"/>
    <w:rsid w:val="008E2560"/>
    <w:rsid w:val="008F0895"/>
    <w:rsid w:val="00905375"/>
    <w:rsid w:val="0091129A"/>
    <w:rsid w:val="00917FDB"/>
    <w:rsid w:val="0092487E"/>
    <w:rsid w:val="00933BC1"/>
    <w:rsid w:val="00937B0D"/>
    <w:rsid w:val="009760C7"/>
    <w:rsid w:val="009A44D3"/>
    <w:rsid w:val="009D4254"/>
    <w:rsid w:val="00A27581"/>
    <w:rsid w:val="00A36168"/>
    <w:rsid w:val="00A85C68"/>
    <w:rsid w:val="00AA5661"/>
    <w:rsid w:val="00AD5075"/>
    <w:rsid w:val="00B04A67"/>
    <w:rsid w:val="00B05E6F"/>
    <w:rsid w:val="00B10633"/>
    <w:rsid w:val="00B33F04"/>
    <w:rsid w:val="00B41207"/>
    <w:rsid w:val="00B53914"/>
    <w:rsid w:val="00B6101B"/>
    <w:rsid w:val="00B656A2"/>
    <w:rsid w:val="00B66CF0"/>
    <w:rsid w:val="00B67C56"/>
    <w:rsid w:val="00BA232B"/>
    <w:rsid w:val="00BA6F00"/>
    <w:rsid w:val="00BF3444"/>
    <w:rsid w:val="00C012E8"/>
    <w:rsid w:val="00C02140"/>
    <w:rsid w:val="00C16FF5"/>
    <w:rsid w:val="00C3241D"/>
    <w:rsid w:val="00C34A79"/>
    <w:rsid w:val="00C41D4F"/>
    <w:rsid w:val="00C531C8"/>
    <w:rsid w:val="00C550E3"/>
    <w:rsid w:val="00C82D9E"/>
    <w:rsid w:val="00C96427"/>
    <w:rsid w:val="00CA4429"/>
    <w:rsid w:val="00CC2048"/>
    <w:rsid w:val="00CD0594"/>
    <w:rsid w:val="00CD1D61"/>
    <w:rsid w:val="00CF0487"/>
    <w:rsid w:val="00CF3E42"/>
    <w:rsid w:val="00CF7D24"/>
    <w:rsid w:val="00D43028"/>
    <w:rsid w:val="00D72E55"/>
    <w:rsid w:val="00D92B1A"/>
    <w:rsid w:val="00DA240C"/>
    <w:rsid w:val="00DB22E2"/>
    <w:rsid w:val="00DC0596"/>
    <w:rsid w:val="00DD7239"/>
    <w:rsid w:val="00DF0476"/>
    <w:rsid w:val="00DF229A"/>
    <w:rsid w:val="00E127CB"/>
    <w:rsid w:val="00E201F1"/>
    <w:rsid w:val="00E319C8"/>
    <w:rsid w:val="00E33605"/>
    <w:rsid w:val="00E40597"/>
    <w:rsid w:val="00E45281"/>
    <w:rsid w:val="00E542DB"/>
    <w:rsid w:val="00E6584E"/>
    <w:rsid w:val="00E83D6F"/>
    <w:rsid w:val="00E87593"/>
    <w:rsid w:val="00E93239"/>
    <w:rsid w:val="00E96FB7"/>
    <w:rsid w:val="00EF0600"/>
    <w:rsid w:val="00F0253C"/>
    <w:rsid w:val="00F1433D"/>
    <w:rsid w:val="00F54211"/>
    <w:rsid w:val="00F86ACE"/>
    <w:rsid w:val="00FC66E4"/>
    <w:rsid w:val="00FF3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08EC"/>
  <w15:chartTrackingRefBased/>
  <w15:docId w15:val="{F6259457-637A-4AD5-8587-FECBCEF9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F0"/>
    <w:pPr>
      <w:ind w:left="720"/>
      <w:contextualSpacing/>
    </w:pPr>
  </w:style>
  <w:style w:type="paragraph" w:customStyle="1" w:styleId="headingparagraph">
    <w:name w:val="headingparagraph"/>
    <w:basedOn w:val="Normal"/>
    <w:rsid w:val="007955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795548"/>
    <w:rPr>
      <w:color w:val="0000FF"/>
      <w:u w:val="single"/>
    </w:rPr>
  </w:style>
  <w:style w:type="paragraph" w:styleId="BalloonText">
    <w:name w:val="Balloon Text"/>
    <w:basedOn w:val="Normal"/>
    <w:link w:val="BalloonTextChar"/>
    <w:uiPriority w:val="99"/>
    <w:semiHidden/>
    <w:unhideWhenUsed/>
    <w:rsid w:val="004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E3"/>
    <w:rPr>
      <w:rFonts w:ascii="Segoe UI" w:hAnsi="Segoe UI" w:cs="Segoe UI"/>
      <w:sz w:val="18"/>
      <w:szCs w:val="18"/>
    </w:rPr>
  </w:style>
  <w:style w:type="paragraph" w:styleId="Header">
    <w:name w:val="header"/>
    <w:basedOn w:val="Normal"/>
    <w:link w:val="HeaderChar"/>
    <w:uiPriority w:val="99"/>
    <w:unhideWhenUsed/>
    <w:rsid w:val="0080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4A1"/>
  </w:style>
  <w:style w:type="paragraph" w:styleId="Footer">
    <w:name w:val="footer"/>
    <w:basedOn w:val="Normal"/>
    <w:link w:val="FooterChar"/>
    <w:uiPriority w:val="99"/>
    <w:unhideWhenUsed/>
    <w:rsid w:val="0080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4A1"/>
  </w:style>
  <w:style w:type="character" w:customStyle="1" w:styleId="Quote1">
    <w:name w:val="Quote1"/>
    <w:basedOn w:val="DefaultParagraphFont"/>
    <w:rsid w:val="00760060"/>
  </w:style>
  <w:style w:type="character" w:styleId="Strong">
    <w:name w:val="Strong"/>
    <w:basedOn w:val="DefaultParagraphFont"/>
    <w:uiPriority w:val="22"/>
    <w:qFormat/>
    <w:rsid w:val="00760060"/>
    <w:rPr>
      <w:b/>
      <w:bCs/>
    </w:rPr>
  </w:style>
  <w:style w:type="character" w:styleId="Emphasis">
    <w:name w:val="Emphasis"/>
    <w:basedOn w:val="DefaultParagraphFont"/>
    <w:uiPriority w:val="20"/>
    <w:qFormat/>
    <w:rsid w:val="00760060"/>
    <w:rPr>
      <w:i/>
      <w:iCs/>
    </w:rPr>
  </w:style>
  <w:style w:type="paragraph" w:customStyle="1" w:styleId="Paragraph">
    <w:name w:val="Paragraph"/>
    <w:basedOn w:val="Normal"/>
    <w:rsid w:val="007C3965"/>
    <w:pPr>
      <w:spacing w:before="200" w:after="200" w:line="240" w:lineRule="auto"/>
      <w:jc w:val="both"/>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C3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69629">
      <w:bodyDiv w:val="1"/>
      <w:marLeft w:val="0"/>
      <w:marRight w:val="0"/>
      <w:marTop w:val="0"/>
      <w:marBottom w:val="0"/>
      <w:divBdr>
        <w:top w:val="none" w:sz="0" w:space="0" w:color="auto"/>
        <w:left w:val="none" w:sz="0" w:space="0" w:color="auto"/>
        <w:bottom w:val="none" w:sz="0" w:space="0" w:color="auto"/>
        <w:right w:val="none" w:sz="0" w:space="0" w:color="auto"/>
      </w:divBdr>
      <w:divsChild>
        <w:div w:id="64797816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47393828">
              <w:blockQuote w:val="1"/>
              <w:marLeft w:val="0"/>
              <w:marRight w:val="0"/>
              <w:marTop w:val="120"/>
              <w:marBottom w:val="120"/>
              <w:divBdr>
                <w:top w:val="none" w:sz="0" w:space="0" w:color="auto"/>
                <w:left w:val="none" w:sz="0" w:space="0" w:color="auto"/>
                <w:bottom w:val="none" w:sz="0" w:space="0" w:color="auto"/>
                <w:right w:val="none" w:sz="0" w:space="0" w:color="auto"/>
              </w:divBdr>
            </w:div>
            <w:div w:id="18352121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90952662">
      <w:bodyDiv w:val="1"/>
      <w:marLeft w:val="0"/>
      <w:marRight w:val="0"/>
      <w:marTop w:val="0"/>
      <w:marBottom w:val="0"/>
      <w:divBdr>
        <w:top w:val="none" w:sz="0" w:space="0" w:color="auto"/>
        <w:left w:val="none" w:sz="0" w:space="0" w:color="auto"/>
        <w:bottom w:val="none" w:sz="0" w:space="0" w:color="auto"/>
        <w:right w:val="none" w:sz="0" w:space="0" w:color="auto"/>
      </w:divBdr>
      <w:divsChild>
        <w:div w:id="99911376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05246482">
              <w:blockQuote w:val="1"/>
              <w:marLeft w:val="0"/>
              <w:marRight w:val="0"/>
              <w:marTop w:val="120"/>
              <w:marBottom w:val="120"/>
              <w:divBdr>
                <w:top w:val="none" w:sz="0" w:space="0" w:color="auto"/>
                <w:left w:val="none" w:sz="0" w:space="0" w:color="auto"/>
                <w:bottom w:val="none" w:sz="0" w:space="0" w:color="auto"/>
                <w:right w:val="none" w:sz="0" w:space="0" w:color="auto"/>
              </w:divBdr>
              <w:divsChild>
                <w:div w:id="362363845">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 w:id="1551769046">
              <w:blockQuote w:val="1"/>
              <w:marLeft w:val="0"/>
              <w:marRight w:val="0"/>
              <w:marTop w:val="120"/>
              <w:marBottom w:val="120"/>
              <w:divBdr>
                <w:top w:val="none" w:sz="0" w:space="0" w:color="auto"/>
                <w:left w:val="none" w:sz="0" w:space="0" w:color="auto"/>
                <w:bottom w:val="none" w:sz="0" w:space="0" w:color="auto"/>
                <w:right w:val="none" w:sz="0" w:space="0" w:color="auto"/>
              </w:divBdr>
              <w:divsChild>
                <w:div w:id="128812005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17415658">
                      <w:blockQuote w:val="1"/>
                      <w:marLeft w:val="0"/>
                      <w:marRight w:val="0"/>
                      <w:marTop w:val="120"/>
                      <w:marBottom w:val="120"/>
                      <w:divBdr>
                        <w:top w:val="none" w:sz="0" w:space="0" w:color="auto"/>
                        <w:left w:val="none" w:sz="0" w:space="0" w:color="auto"/>
                        <w:bottom w:val="none" w:sz="0" w:space="0" w:color="auto"/>
                        <w:right w:val="none" w:sz="0" w:space="0" w:color="auto"/>
                      </w:divBdr>
                    </w:div>
                    <w:div w:id="6938507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10450936">
              <w:blockQuote w:val="1"/>
              <w:marLeft w:val="0"/>
              <w:marRight w:val="0"/>
              <w:marTop w:val="120"/>
              <w:marBottom w:val="120"/>
              <w:divBdr>
                <w:top w:val="none" w:sz="0" w:space="0" w:color="auto"/>
                <w:left w:val="none" w:sz="0" w:space="0" w:color="auto"/>
                <w:bottom w:val="none" w:sz="0" w:space="0" w:color="auto"/>
                <w:right w:val="none" w:sz="0" w:space="0" w:color="auto"/>
              </w:divBdr>
            </w:div>
            <w:div w:id="1230385207">
              <w:blockQuote w:val="1"/>
              <w:marLeft w:val="0"/>
              <w:marRight w:val="0"/>
              <w:marTop w:val="120"/>
              <w:marBottom w:val="120"/>
              <w:divBdr>
                <w:top w:val="none" w:sz="0" w:space="0" w:color="auto"/>
                <w:left w:val="none" w:sz="0" w:space="0" w:color="auto"/>
                <w:bottom w:val="none" w:sz="0" w:space="0" w:color="auto"/>
                <w:right w:val="none" w:sz="0" w:space="0" w:color="auto"/>
              </w:divBdr>
              <w:divsChild>
                <w:div w:id="201491474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76280894">
                      <w:blockQuote w:val="1"/>
                      <w:marLeft w:val="0"/>
                      <w:marRight w:val="0"/>
                      <w:marTop w:val="120"/>
                      <w:marBottom w:val="120"/>
                      <w:divBdr>
                        <w:top w:val="none" w:sz="0" w:space="0" w:color="auto"/>
                        <w:left w:val="none" w:sz="0" w:space="0" w:color="auto"/>
                        <w:bottom w:val="none" w:sz="0" w:space="0" w:color="auto"/>
                        <w:right w:val="none" w:sz="0" w:space="0" w:color="auto"/>
                      </w:divBdr>
                    </w:div>
                    <w:div w:id="56722590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2821766">
      <w:bodyDiv w:val="1"/>
      <w:marLeft w:val="0"/>
      <w:marRight w:val="0"/>
      <w:marTop w:val="0"/>
      <w:marBottom w:val="0"/>
      <w:divBdr>
        <w:top w:val="none" w:sz="0" w:space="0" w:color="auto"/>
        <w:left w:val="none" w:sz="0" w:space="0" w:color="auto"/>
        <w:bottom w:val="none" w:sz="0" w:space="0" w:color="auto"/>
        <w:right w:val="none" w:sz="0" w:space="0" w:color="auto"/>
      </w:divBdr>
      <w:divsChild>
        <w:div w:id="192429704">
          <w:marLeft w:val="0"/>
          <w:marRight w:val="0"/>
          <w:marTop w:val="0"/>
          <w:marBottom w:val="0"/>
          <w:divBdr>
            <w:top w:val="none" w:sz="0" w:space="0" w:color="auto"/>
            <w:left w:val="none" w:sz="0" w:space="0" w:color="auto"/>
            <w:bottom w:val="none" w:sz="0" w:space="0" w:color="auto"/>
            <w:right w:val="none" w:sz="0" w:space="0" w:color="auto"/>
          </w:divBdr>
          <w:divsChild>
            <w:div w:id="862943731">
              <w:marLeft w:val="0"/>
              <w:marRight w:val="0"/>
              <w:marTop w:val="0"/>
              <w:marBottom w:val="0"/>
              <w:divBdr>
                <w:top w:val="none" w:sz="0" w:space="0" w:color="auto"/>
                <w:left w:val="none" w:sz="0" w:space="0" w:color="auto"/>
                <w:bottom w:val="none" w:sz="0" w:space="0" w:color="auto"/>
                <w:right w:val="none" w:sz="0" w:space="0" w:color="auto"/>
              </w:divBdr>
              <w:divsChild>
                <w:div w:id="1600721125">
                  <w:marLeft w:val="0"/>
                  <w:marRight w:val="0"/>
                  <w:marTop w:val="0"/>
                  <w:marBottom w:val="0"/>
                  <w:divBdr>
                    <w:top w:val="none" w:sz="0" w:space="0" w:color="auto"/>
                    <w:left w:val="none" w:sz="0" w:space="0" w:color="auto"/>
                    <w:bottom w:val="none" w:sz="0" w:space="0" w:color="auto"/>
                    <w:right w:val="none" w:sz="0" w:space="0" w:color="auto"/>
                  </w:divBdr>
                  <w:divsChild>
                    <w:div w:id="1706977460">
                      <w:marLeft w:val="0"/>
                      <w:marRight w:val="-6300"/>
                      <w:marTop w:val="0"/>
                      <w:marBottom w:val="0"/>
                      <w:divBdr>
                        <w:top w:val="none" w:sz="0" w:space="0" w:color="auto"/>
                        <w:left w:val="none" w:sz="0" w:space="0" w:color="auto"/>
                        <w:bottom w:val="none" w:sz="0" w:space="0" w:color="auto"/>
                        <w:right w:val="none" w:sz="0" w:space="0" w:color="auto"/>
                      </w:divBdr>
                      <w:divsChild>
                        <w:div w:id="1597054808">
                          <w:marLeft w:val="340"/>
                          <w:marRight w:val="0"/>
                          <w:marTop w:val="0"/>
                          <w:marBottom w:val="120"/>
                          <w:divBdr>
                            <w:top w:val="none" w:sz="0" w:space="0" w:color="auto"/>
                            <w:left w:val="none" w:sz="0" w:space="0" w:color="auto"/>
                            <w:bottom w:val="none" w:sz="0" w:space="0" w:color="auto"/>
                            <w:right w:val="none" w:sz="0" w:space="0" w:color="auto"/>
                          </w:divBdr>
                          <w:divsChild>
                            <w:div w:id="1297831881">
                              <w:marLeft w:val="0"/>
                              <w:marRight w:val="0"/>
                              <w:marTop w:val="0"/>
                              <w:marBottom w:val="0"/>
                              <w:divBdr>
                                <w:top w:val="none" w:sz="0" w:space="0" w:color="auto"/>
                                <w:left w:val="none" w:sz="0" w:space="0" w:color="auto"/>
                                <w:bottom w:val="none" w:sz="0" w:space="0" w:color="auto"/>
                                <w:right w:val="none" w:sz="0" w:space="0" w:color="auto"/>
                              </w:divBdr>
                              <w:divsChild>
                                <w:div w:id="179398374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89231770">
                                      <w:blockQuote w:val="1"/>
                                      <w:marLeft w:val="0"/>
                                      <w:marRight w:val="0"/>
                                      <w:marTop w:val="120"/>
                                      <w:marBottom w:val="120"/>
                                      <w:divBdr>
                                        <w:top w:val="none" w:sz="0" w:space="0" w:color="auto"/>
                                        <w:left w:val="none" w:sz="0" w:space="0" w:color="auto"/>
                                        <w:bottom w:val="none" w:sz="0" w:space="0" w:color="auto"/>
                                        <w:right w:val="none" w:sz="0" w:space="0" w:color="auto"/>
                                      </w:divBdr>
                                      <w:divsChild>
                                        <w:div w:id="214434962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3423064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4048717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10953815">
                                                      <w:blockQuote w:val="1"/>
                                                      <w:marLeft w:val="0"/>
                                                      <w:marRight w:val="0"/>
                                                      <w:marTop w:val="120"/>
                                                      <w:marBottom w:val="120"/>
                                                      <w:divBdr>
                                                        <w:top w:val="none" w:sz="0" w:space="0" w:color="auto"/>
                                                        <w:left w:val="none" w:sz="0" w:space="0" w:color="auto"/>
                                                        <w:bottom w:val="none" w:sz="0" w:space="0" w:color="auto"/>
                                                        <w:right w:val="none" w:sz="0" w:space="0" w:color="auto"/>
                                                      </w:divBdr>
                                                    </w:div>
                                                    <w:div w:id="11902940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55554458">
                                              <w:blockQuote w:val="1"/>
                                              <w:marLeft w:val="0"/>
                                              <w:marRight w:val="0"/>
                                              <w:marTop w:val="120"/>
                                              <w:marBottom w:val="120"/>
                                              <w:divBdr>
                                                <w:top w:val="none" w:sz="0" w:space="0" w:color="auto"/>
                                                <w:left w:val="none" w:sz="0" w:space="0" w:color="auto"/>
                                                <w:bottom w:val="none" w:sz="0" w:space="0" w:color="auto"/>
                                                <w:right w:val="none" w:sz="0" w:space="0" w:color="auto"/>
                                              </w:divBdr>
                                            </w:div>
                                            <w:div w:id="1974481129">
                                              <w:blockQuote w:val="1"/>
                                              <w:marLeft w:val="0"/>
                                              <w:marRight w:val="0"/>
                                              <w:marTop w:val="120"/>
                                              <w:marBottom w:val="120"/>
                                              <w:divBdr>
                                                <w:top w:val="none" w:sz="0" w:space="0" w:color="auto"/>
                                                <w:left w:val="none" w:sz="0" w:space="0" w:color="auto"/>
                                                <w:bottom w:val="none" w:sz="0" w:space="0" w:color="auto"/>
                                                <w:right w:val="none" w:sz="0" w:space="0" w:color="auto"/>
                                              </w:divBdr>
                                            </w:div>
                                            <w:div w:id="178862096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99563625">
                                      <w:blockQuote w:val="1"/>
                                      <w:marLeft w:val="0"/>
                                      <w:marRight w:val="0"/>
                                      <w:marTop w:val="120"/>
                                      <w:marBottom w:val="120"/>
                                      <w:divBdr>
                                        <w:top w:val="none" w:sz="0" w:space="0" w:color="auto"/>
                                        <w:left w:val="none" w:sz="0" w:space="0" w:color="auto"/>
                                        <w:bottom w:val="none" w:sz="0" w:space="0" w:color="auto"/>
                                        <w:right w:val="none" w:sz="0" w:space="0" w:color="auto"/>
                                      </w:divBdr>
                                      <w:divsChild>
                                        <w:div w:id="9013209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11738667">
                                              <w:blockQuote w:val="1"/>
                                              <w:marLeft w:val="0"/>
                                              <w:marRight w:val="0"/>
                                              <w:marTop w:val="120"/>
                                              <w:marBottom w:val="120"/>
                                              <w:divBdr>
                                                <w:top w:val="none" w:sz="0" w:space="0" w:color="auto"/>
                                                <w:left w:val="none" w:sz="0" w:space="0" w:color="auto"/>
                                                <w:bottom w:val="none" w:sz="0" w:space="0" w:color="auto"/>
                                                <w:right w:val="none" w:sz="0" w:space="0" w:color="auto"/>
                                              </w:divBdr>
                                            </w:div>
                                            <w:div w:id="2049909160">
                                              <w:blockQuote w:val="1"/>
                                              <w:marLeft w:val="0"/>
                                              <w:marRight w:val="0"/>
                                              <w:marTop w:val="120"/>
                                              <w:marBottom w:val="120"/>
                                              <w:divBdr>
                                                <w:top w:val="none" w:sz="0" w:space="0" w:color="auto"/>
                                                <w:left w:val="none" w:sz="0" w:space="0" w:color="auto"/>
                                                <w:bottom w:val="none" w:sz="0" w:space="0" w:color="auto"/>
                                                <w:right w:val="none" w:sz="0" w:space="0" w:color="auto"/>
                                              </w:divBdr>
                                            </w:div>
                                            <w:div w:id="860706762">
                                              <w:blockQuote w:val="1"/>
                                              <w:marLeft w:val="0"/>
                                              <w:marRight w:val="0"/>
                                              <w:marTop w:val="120"/>
                                              <w:marBottom w:val="120"/>
                                              <w:divBdr>
                                                <w:top w:val="none" w:sz="0" w:space="0" w:color="auto"/>
                                                <w:left w:val="none" w:sz="0" w:space="0" w:color="auto"/>
                                                <w:bottom w:val="none" w:sz="0" w:space="0" w:color="auto"/>
                                                <w:right w:val="none" w:sz="0" w:space="0" w:color="auto"/>
                                              </w:divBdr>
                                              <w:divsChild>
                                                <w:div w:id="85839274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19283000">
                                                      <w:blockQuote w:val="1"/>
                                                      <w:marLeft w:val="0"/>
                                                      <w:marRight w:val="0"/>
                                                      <w:marTop w:val="120"/>
                                                      <w:marBottom w:val="120"/>
                                                      <w:divBdr>
                                                        <w:top w:val="none" w:sz="0" w:space="0" w:color="auto"/>
                                                        <w:left w:val="none" w:sz="0" w:space="0" w:color="auto"/>
                                                        <w:bottom w:val="none" w:sz="0" w:space="0" w:color="auto"/>
                                                        <w:right w:val="none" w:sz="0" w:space="0" w:color="auto"/>
                                                      </w:divBdr>
                                                    </w:div>
                                                    <w:div w:id="20676922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59889303">
                                      <w:blockQuote w:val="1"/>
                                      <w:marLeft w:val="0"/>
                                      <w:marRight w:val="0"/>
                                      <w:marTop w:val="120"/>
                                      <w:marBottom w:val="120"/>
                                      <w:divBdr>
                                        <w:top w:val="none" w:sz="0" w:space="0" w:color="auto"/>
                                        <w:left w:val="none" w:sz="0" w:space="0" w:color="auto"/>
                                        <w:bottom w:val="none" w:sz="0" w:space="0" w:color="auto"/>
                                        <w:right w:val="none" w:sz="0" w:space="0" w:color="auto"/>
                                      </w:divBdr>
                                    </w:div>
                                    <w:div w:id="1421028634">
                                      <w:blockQuote w:val="1"/>
                                      <w:marLeft w:val="0"/>
                                      <w:marRight w:val="0"/>
                                      <w:marTop w:val="120"/>
                                      <w:marBottom w:val="120"/>
                                      <w:divBdr>
                                        <w:top w:val="none" w:sz="0" w:space="0" w:color="auto"/>
                                        <w:left w:val="none" w:sz="0" w:space="0" w:color="auto"/>
                                        <w:bottom w:val="none" w:sz="0" w:space="0" w:color="auto"/>
                                        <w:right w:val="none" w:sz="0" w:space="0" w:color="auto"/>
                                      </w:divBdr>
                                    </w:div>
                                    <w:div w:id="977539624">
                                      <w:blockQuote w:val="1"/>
                                      <w:marLeft w:val="0"/>
                                      <w:marRight w:val="0"/>
                                      <w:marTop w:val="120"/>
                                      <w:marBottom w:val="120"/>
                                      <w:divBdr>
                                        <w:top w:val="none" w:sz="0" w:space="0" w:color="auto"/>
                                        <w:left w:val="none" w:sz="0" w:space="0" w:color="auto"/>
                                        <w:bottom w:val="none" w:sz="0" w:space="0" w:color="auto"/>
                                        <w:right w:val="none" w:sz="0" w:space="0" w:color="auto"/>
                                      </w:divBdr>
                                      <w:divsChild>
                                        <w:div w:id="54795559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54053594">
                                              <w:blockQuote w:val="1"/>
                                              <w:marLeft w:val="0"/>
                                              <w:marRight w:val="0"/>
                                              <w:marTop w:val="120"/>
                                              <w:marBottom w:val="120"/>
                                              <w:divBdr>
                                                <w:top w:val="none" w:sz="0" w:space="0" w:color="auto"/>
                                                <w:left w:val="none" w:sz="0" w:space="0" w:color="auto"/>
                                                <w:bottom w:val="none" w:sz="0" w:space="0" w:color="auto"/>
                                                <w:right w:val="none" w:sz="0" w:space="0" w:color="auto"/>
                                              </w:divBdr>
                                            </w:div>
                                            <w:div w:id="1994529323">
                                              <w:blockQuote w:val="1"/>
                                              <w:marLeft w:val="0"/>
                                              <w:marRight w:val="0"/>
                                              <w:marTop w:val="120"/>
                                              <w:marBottom w:val="120"/>
                                              <w:divBdr>
                                                <w:top w:val="none" w:sz="0" w:space="0" w:color="auto"/>
                                                <w:left w:val="none" w:sz="0" w:space="0" w:color="auto"/>
                                                <w:bottom w:val="none" w:sz="0" w:space="0" w:color="auto"/>
                                                <w:right w:val="none" w:sz="0" w:space="0" w:color="auto"/>
                                              </w:divBdr>
                                            </w:div>
                                            <w:div w:id="202797403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7945073">
                                      <w:blockQuote w:val="1"/>
                                      <w:marLeft w:val="0"/>
                                      <w:marRight w:val="0"/>
                                      <w:marTop w:val="120"/>
                                      <w:marBottom w:val="120"/>
                                      <w:divBdr>
                                        <w:top w:val="none" w:sz="0" w:space="0" w:color="auto"/>
                                        <w:left w:val="none" w:sz="0" w:space="0" w:color="auto"/>
                                        <w:bottom w:val="none" w:sz="0" w:space="0" w:color="auto"/>
                                        <w:right w:val="none" w:sz="0" w:space="0" w:color="auto"/>
                                      </w:divBdr>
                                    </w:div>
                                    <w:div w:id="1343782067">
                                      <w:blockQuote w:val="1"/>
                                      <w:marLeft w:val="0"/>
                                      <w:marRight w:val="0"/>
                                      <w:marTop w:val="120"/>
                                      <w:marBottom w:val="120"/>
                                      <w:divBdr>
                                        <w:top w:val="none" w:sz="0" w:space="0" w:color="auto"/>
                                        <w:left w:val="none" w:sz="0" w:space="0" w:color="auto"/>
                                        <w:bottom w:val="none" w:sz="0" w:space="0" w:color="auto"/>
                                        <w:right w:val="none" w:sz="0" w:space="0" w:color="auto"/>
                                      </w:divBdr>
                                    </w:div>
                                    <w:div w:id="43070732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22529287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50586502">
                                              <w:blockQuote w:val="1"/>
                                              <w:marLeft w:val="0"/>
                                              <w:marRight w:val="0"/>
                                              <w:marTop w:val="120"/>
                                              <w:marBottom w:val="120"/>
                                              <w:divBdr>
                                                <w:top w:val="none" w:sz="0" w:space="0" w:color="auto"/>
                                                <w:left w:val="none" w:sz="0" w:space="0" w:color="auto"/>
                                                <w:bottom w:val="none" w:sz="0" w:space="0" w:color="auto"/>
                                                <w:right w:val="none" w:sz="0" w:space="0" w:color="auto"/>
                                              </w:divBdr>
                                            </w:div>
                                            <w:div w:id="93756558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12343006">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2595597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3875424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89063534">
                                                  <w:blockQuote w:val="1"/>
                                                  <w:marLeft w:val="0"/>
                                                  <w:marRight w:val="0"/>
                                                  <w:marTop w:val="120"/>
                                                  <w:marBottom w:val="120"/>
                                                  <w:divBdr>
                                                    <w:top w:val="none" w:sz="0" w:space="0" w:color="auto"/>
                                                    <w:left w:val="none" w:sz="0" w:space="0" w:color="auto"/>
                                                    <w:bottom w:val="none" w:sz="0" w:space="0" w:color="auto"/>
                                                    <w:right w:val="none" w:sz="0" w:space="0" w:color="auto"/>
                                                  </w:divBdr>
                                                </w:div>
                                                <w:div w:id="99387324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6354462">
                                          <w:blockQuote w:val="1"/>
                                          <w:marLeft w:val="720"/>
                                          <w:marRight w:val="0"/>
                                          <w:marTop w:val="120"/>
                                          <w:marBottom w:val="120"/>
                                          <w:divBdr>
                                            <w:top w:val="none" w:sz="0" w:space="0" w:color="auto"/>
                                            <w:left w:val="none" w:sz="0" w:space="0" w:color="auto"/>
                                            <w:bottom w:val="none" w:sz="0" w:space="0" w:color="auto"/>
                                            <w:right w:val="none" w:sz="0" w:space="0" w:color="auto"/>
                                          </w:divBdr>
                                        </w:div>
                                        <w:div w:id="141813763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1077423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41878540">
                                                  <w:blockQuote w:val="1"/>
                                                  <w:marLeft w:val="0"/>
                                                  <w:marRight w:val="0"/>
                                                  <w:marTop w:val="120"/>
                                                  <w:marBottom w:val="120"/>
                                                  <w:divBdr>
                                                    <w:top w:val="none" w:sz="0" w:space="0" w:color="auto"/>
                                                    <w:left w:val="none" w:sz="0" w:space="0" w:color="auto"/>
                                                    <w:bottom w:val="none" w:sz="0" w:space="0" w:color="auto"/>
                                                    <w:right w:val="none" w:sz="0" w:space="0" w:color="auto"/>
                                                  </w:divBdr>
                                                </w:div>
                                                <w:div w:id="1985348004">
                                                  <w:blockQuote w:val="1"/>
                                                  <w:marLeft w:val="0"/>
                                                  <w:marRight w:val="0"/>
                                                  <w:marTop w:val="120"/>
                                                  <w:marBottom w:val="120"/>
                                                  <w:divBdr>
                                                    <w:top w:val="none" w:sz="0" w:space="0" w:color="auto"/>
                                                    <w:left w:val="none" w:sz="0" w:space="0" w:color="auto"/>
                                                    <w:bottom w:val="none" w:sz="0" w:space="0" w:color="auto"/>
                                                    <w:right w:val="none" w:sz="0" w:space="0" w:color="auto"/>
                                                  </w:divBdr>
                                                </w:div>
                                                <w:div w:id="1963544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9025675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2048172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41715646">
                                                  <w:blockQuote w:val="1"/>
                                                  <w:marLeft w:val="0"/>
                                                  <w:marRight w:val="0"/>
                                                  <w:marTop w:val="120"/>
                                                  <w:marBottom w:val="120"/>
                                                  <w:divBdr>
                                                    <w:top w:val="none" w:sz="0" w:space="0" w:color="auto"/>
                                                    <w:left w:val="none" w:sz="0" w:space="0" w:color="auto"/>
                                                    <w:bottom w:val="none" w:sz="0" w:space="0" w:color="auto"/>
                                                    <w:right w:val="none" w:sz="0" w:space="0" w:color="auto"/>
                                                  </w:divBdr>
                                                </w:div>
                                                <w:div w:id="71743522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073488">
                                          <w:blockQuote w:val="1"/>
                                          <w:marLeft w:val="720"/>
                                          <w:marRight w:val="0"/>
                                          <w:marTop w:val="120"/>
                                          <w:marBottom w:val="120"/>
                                          <w:divBdr>
                                            <w:top w:val="none" w:sz="0" w:space="0" w:color="auto"/>
                                            <w:left w:val="none" w:sz="0" w:space="0" w:color="auto"/>
                                            <w:bottom w:val="none" w:sz="0" w:space="0" w:color="auto"/>
                                            <w:right w:val="none" w:sz="0" w:space="0" w:color="auto"/>
                                          </w:divBdr>
                                        </w:div>
                                        <w:div w:id="12146678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847800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30538517">
                                                  <w:blockQuote w:val="1"/>
                                                  <w:marLeft w:val="0"/>
                                                  <w:marRight w:val="0"/>
                                                  <w:marTop w:val="120"/>
                                                  <w:marBottom w:val="120"/>
                                                  <w:divBdr>
                                                    <w:top w:val="none" w:sz="0" w:space="0" w:color="auto"/>
                                                    <w:left w:val="none" w:sz="0" w:space="0" w:color="auto"/>
                                                    <w:bottom w:val="none" w:sz="0" w:space="0" w:color="auto"/>
                                                    <w:right w:val="none" w:sz="0" w:space="0" w:color="auto"/>
                                                  </w:divBdr>
                                                </w:div>
                                                <w:div w:id="10527336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913056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984263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56181450">
                                                  <w:blockQuote w:val="1"/>
                                                  <w:marLeft w:val="0"/>
                                                  <w:marRight w:val="0"/>
                                                  <w:marTop w:val="120"/>
                                                  <w:marBottom w:val="120"/>
                                                  <w:divBdr>
                                                    <w:top w:val="none" w:sz="0" w:space="0" w:color="auto"/>
                                                    <w:left w:val="none" w:sz="0" w:space="0" w:color="auto"/>
                                                    <w:bottom w:val="none" w:sz="0" w:space="0" w:color="auto"/>
                                                    <w:right w:val="none" w:sz="0" w:space="0" w:color="auto"/>
                                                  </w:divBdr>
                                                </w:div>
                                                <w:div w:id="1115827260">
                                                  <w:blockQuote w:val="1"/>
                                                  <w:marLeft w:val="0"/>
                                                  <w:marRight w:val="0"/>
                                                  <w:marTop w:val="120"/>
                                                  <w:marBottom w:val="120"/>
                                                  <w:divBdr>
                                                    <w:top w:val="none" w:sz="0" w:space="0" w:color="auto"/>
                                                    <w:left w:val="none" w:sz="0" w:space="0" w:color="auto"/>
                                                    <w:bottom w:val="none" w:sz="0" w:space="0" w:color="auto"/>
                                                    <w:right w:val="none" w:sz="0" w:space="0" w:color="auto"/>
                                                  </w:divBdr>
                                                </w:div>
                                                <w:div w:id="1379664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08431">
                          <w:marLeft w:val="0"/>
                          <w:marRight w:val="0"/>
                          <w:marTop w:val="0"/>
                          <w:marBottom w:val="0"/>
                          <w:divBdr>
                            <w:top w:val="none" w:sz="0" w:space="0" w:color="auto"/>
                            <w:left w:val="none" w:sz="0" w:space="0" w:color="auto"/>
                            <w:bottom w:val="none" w:sz="0" w:space="0" w:color="auto"/>
                            <w:right w:val="none" w:sz="0" w:space="0" w:color="auto"/>
                          </w:divBdr>
                          <w:divsChild>
                            <w:div w:id="1977221940">
                              <w:marLeft w:val="0"/>
                              <w:marRight w:val="0"/>
                              <w:marTop w:val="0"/>
                              <w:marBottom w:val="0"/>
                              <w:divBdr>
                                <w:top w:val="single" w:sz="6" w:space="0" w:color="BFBFBF"/>
                                <w:left w:val="single" w:sz="6" w:space="0" w:color="BFBFBF"/>
                                <w:bottom w:val="single" w:sz="6" w:space="0" w:color="BFBFBF"/>
                                <w:right w:val="single" w:sz="6" w:space="0" w:color="BFBFBF"/>
                              </w:divBdr>
                              <w:divsChild>
                                <w:div w:id="985741303">
                                  <w:marLeft w:val="0"/>
                                  <w:marRight w:val="0"/>
                                  <w:marTop w:val="0"/>
                                  <w:marBottom w:val="0"/>
                                  <w:divBdr>
                                    <w:top w:val="single" w:sz="6" w:space="0" w:color="BFBFBF"/>
                                    <w:left w:val="single" w:sz="6" w:space="0" w:color="BFBFBF"/>
                                    <w:bottom w:val="single" w:sz="6" w:space="0" w:color="BFBFBF"/>
                                    <w:right w:val="single" w:sz="6" w:space="0" w:color="BFBFBF"/>
                                  </w:divBdr>
                                  <w:divsChild>
                                    <w:div w:id="1279682642">
                                      <w:marLeft w:val="0"/>
                                      <w:marRight w:val="0"/>
                                      <w:marTop w:val="0"/>
                                      <w:marBottom w:val="0"/>
                                      <w:divBdr>
                                        <w:top w:val="none" w:sz="0" w:space="0" w:color="auto"/>
                                        <w:left w:val="none" w:sz="0" w:space="0" w:color="auto"/>
                                        <w:bottom w:val="none" w:sz="0" w:space="0" w:color="auto"/>
                                        <w:right w:val="none" w:sz="0" w:space="0" w:color="auto"/>
                                      </w:divBdr>
                                      <w:divsChild>
                                        <w:div w:id="366760788">
                                          <w:marLeft w:val="0"/>
                                          <w:marRight w:val="0"/>
                                          <w:marTop w:val="0"/>
                                          <w:marBottom w:val="0"/>
                                          <w:divBdr>
                                            <w:top w:val="none" w:sz="0" w:space="0" w:color="auto"/>
                                            <w:left w:val="none" w:sz="0" w:space="0" w:color="auto"/>
                                            <w:bottom w:val="none" w:sz="0" w:space="0" w:color="auto"/>
                                            <w:right w:val="none" w:sz="0" w:space="0" w:color="auto"/>
                                          </w:divBdr>
                                          <w:divsChild>
                                            <w:div w:id="1461337536">
                                              <w:marLeft w:val="0"/>
                                              <w:marRight w:val="0"/>
                                              <w:marTop w:val="0"/>
                                              <w:marBottom w:val="0"/>
                                              <w:divBdr>
                                                <w:top w:val="none" w:sz="0" w:space="0" w:color="auto"/>
                                                <w:left w:val="none" w:sz="0" w:space="0" w:color="auto"/>
                                                <w:bottom w:val="none" w:sz="0" w:space="0" w:color="auto"/>
                                                <w:right w:val="none" w:sz="0" w:space="0" w:color="auto"/>
                                              </w:divBdr>
                                              <w:divsChild>
                                                <w:div w:id="709693507">
                                                  <w:marLeft w:val="0"/>
                                                  <w:marRight w:val="0"/>
                                                  <w:marTop w:val="0"/>
                                                  <w:marBottom w:val="0"/>
                                                  <w:divBdr>
                                                    <w:top w:val="none" w:sz="0" w:space="0" w:color="auto"/>
                                                    <w:left w:val="none" w:sz="0" w:space="0" w:color="auto"/>
                                                    <w:bottom w:val="none" w:sz="0" w:space="0" w:color="auto"/>
                                                    <w:right w:val="none" w:sz="0" w:space="0" w:color="auto"/>
                                                  </w:divBdr>
                                                  <w:divsChild>
                                                    <w:div w:id="2060586740">
                                                      <w:marLeft w:val="0"/>
                                                      <w:marRight w:val="0"/>
                                                      <w:marTop w:val="300"/>
                                                      <w:marBottom w:val="0"/>
                                                      <w:divBdr>
                                                        <w:top w:val="single" w:sz="6" w:space="0" w:color="AAAAAA"/>
                                                        <w:left w:val="single" w:sz="6" w:space="0" w:color="AAAAAA"/>
                                                        <w:bottom w:val="single" w:sz="6" w:space="0" w:color="AAAAAA"/>
                                                        <w:right w:val="single" w:sz="6" w:space="0" w:color="AAAAAA"/>
                                                      </w:divBdr>
                                                      <w:divsChild>
                                                        <w:div w:id="1260870592">
                                                          <w:marLeft w:val="0"/>
                                                          <w:marRight w:val="0"/>
                                                          <w:marTop w:val="0"/>
                                                          <w:marBottom w:val="0"/>
                                                          <w:divBdr>
                                                            <w:top w:val="none" w:sz="0" w:space="0" w:color="auto"/>
                                                            <w:left w:val="none" w:sz="0" w:space="0" w:color="auto"/>
                                                            <w:bottom w:val="none" w:sz="0" w:space="0" w:color="auto"/>
                                                            <w:right w:val="none" w:sz="0" w:space="0" w:color="auto"/>
                                                          </w:divBdr>
                                                          <w:divsChild>
                                                            <w:div w:id="371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136">
                                                      <w:marLeft w:val="0"/>
                                                      <w:marRight w:val="0"/>
                                                      <w:marTop w:val="300"/>
                                                      <w:marBottom w:val="0"/>
                                                      <w:divBdr>
                                                        <w:top w:val="single" w:sz="6" w:space="0" w:color="AAAAAA"/>
                                                        <w:left w:val="single" w:sz="6" w:space="0" w:color="AAAAAA"/>
                                                        <w:bottom w:val="single" w:sz="6" w:space="0" w:color="AAAAAA"/>
                                                        <w:right w:val="single" w:sz="6" w:space="0" w:color="AAAAAA"/>
                                                      </w:divBdr>
                                                      <w:divsChild>
                                                        <w:div w:id="1152060461">
                                                          <w:marLeft w:val="0"/>
                                                          <w:marRight w:val="0"/>
                                                          <w:marTop w:val="0"/>
                                                          <w:marBottom w:val="0"/>
                                                          <w:divBdr>
                                                            <w:top w:val="none" w:sz="0" w:space="0" w:color="auto"/>
                                                            <w:left w:val="none" w:sz="0" w:space="0" w:color="auto"/>
                                                            <w:bottom w:val="none" w:sz="0" w:space="0" w:color="auto"/>
                                                            <w:right w:val="none" w:sz="0" w:space="0" w:color="auto"/>
                                                          </w:divBdr>
                                                          <w:divsChild>
                                                            <w:div w:id="11554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701">
                                                      <w:marLeft w:val="0"/>
                                                      <w:marRight w:val="0"/>
                                                      <w:marTop w:val="300"/>
                                                      <w:marBottom w:val="0"/>
                                                      <w:divBdr>
                                                        <w:top w:val="single" w:sz="6" w:space="0" w:color="AAAAAA"/>
                                                        <w:left w:val="single" w:sz="6" w:space="0" w:color="AAAAAA"/>
                                                        <w:bottom w:val="single" w:sz="6" w:space="0" w:color="AAAAAA"/>
                                                        <w:right w:val="single" w:sz="6" w:space="0" w:color="AAAAAA"/>
                                                      </w:divBdr>
                                                      <w:divsChild>
                                                        <w:div w:id="1777480394">
                                                          <w:marLeft w:val="0"/>
                                                          <w:marRight w:val="0"/>
                                                          <w:marTop w:val="0"/>
                                                          <w:marBottom w:val="0"/>
                                                          <w:divBdr>
                                                            <w:top w:val="none" w:sz="0" w:space="0" w:color="auto"/>
                                                            <w:left w:val="none" w:sz="0" w:space="0" w:color="auto"/>
                                                            <w:bottom w:val="none" w:sz="0" w:space="0" w:color="auto"/>
                                                            <w:right w:val="none" w:sz="0" w:space="0" w:color="auto"/>
                                                          </w:divBdr>
                                                          <w:divsChild>
                                                            <w:div w:id="11709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2785">
                                                      <w:marLeft w:val="0"/>
                                                      <w:marRight w:val="0"/>
                                                      <w:marTop w:val="300"/>
                                                      <w:marBottom w:val="0"/>
                                                      <w:divBdr>
                                                        <w:top w:val="single" w:sz="6" w:space="0" w:color="AAAAAA"/>
                                                        <w:left w:val="single" w:sz="6" w:space="0" w:color="AAAAAA"/>
                                                        <w:bottom w:val="single" w:sz="6" w:space="0" w:color="AAAAAA"/>
                                                        <w:right w:val="single" w:sz="6" w:space="0" w:color="AAAAAA"/>
                                                      </w:divBdr>
                                                      <w:divsChild>
                                                        <w:div w:id="369693651">
                                                          <w:marLeft w:val="0"/>
                                                          <w:marRight w:val="0"/>
                                                          <w:marTop w:val="0"/>
                                                          <w:marBottom w:val="0"/>
                                                          <w:divBdr>
                                                            <w:top w:val="none" w:sz="0" w:space="0" w:color="auto"/>
                                                            <w:left w:val="none" w:sz="0" w:space="0" w:color="auto"/>
                                                            <w:bottom w:val="none" w:sz="0" w:space="0" w:color="auto"/>
                                                            <w:right w:val="none" w:sz="0" w:space="0" w:color="auto"/>
                                                          </w:divBdr>
                                                          <w:divsChild>
                                                            <w:div w:id="4991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8869">
                                                      <w:marLeft w:val="0"/>
                                                      <w:marRight w:val="0"/>
                                                      <w:marTop w:val="300"/>
                                                      <w:marBottom w:val="0"/>
                                                      <w:divBdr>
                                                        <w:top w:val="single" w:sz="6" w:space="0" w:color="AAAAAA"/>
                                                        <w:left w:val="single" w:sz="6" w:space="0" w:color="AAAAAA"/>
                                                        <w:bottom w:val="single" w:sz="6" w:space="0" w:color="AAAAAA"/>
                                                        <w:right w:val="single" w:sz="6" w:space="0" w:color="AAAAAA"/>
                                                      </w:divBdr>
                                                      <w:divsChild>
                                                        <w:div w:id="690373144">
                                                          <w:marLeft w:val="0"/>
                                                          <w:marRight w:val="0"/>
                                                          <w:marTop w:val="0"/>
                                                          <w:marBottom w:val="0"/>
                                                          <w:divBdr>
                                                            <w:top w:val="none" w:sz="0" w:space="0" w:color="auto"/>
                                                            <w:left w:val="none" w:sz="0" w:space="0" w:color="auto"/>
                                                            <w:bottom w:val="none" w:sz="0" w:space="0" w:color="auto"/>
                                                            <w:right w:val="none" w:sz="0" w:space="0" w:color="auto"/>
                                                          </w:divBdr>
                                                          <w:divsChild>
                                                            <w:div w:id="14227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497">
                                                      <w:marLeft w:val="0"/>
                                                      <w:marRight w:val="0"/>
                                                      <w:marTop w:val="300"/>
                                                      <w:marBottom w:val="0"/>
                                                      <w:divBdr>
                                                        <w:top w:val="single" w:sz="6" w:space="0" w:color="AAAAAA"/>
                                                        <w:left w:val="single" w:sz="6" w:space="0" w:color="AAAAAA"/>
                                                        <w:bottom w:val="single" w:sz="6" w:space="0" w:color="AAAAAA"/>
                                                        <w:right w:val="single" w:sz="6" w:space="0" w:color="AAAAAA"/>
                                                      </w:divBdr>
                                                      <w:divsChild>
                                                        <w:div w:id="2113159942">
                                                          <w:marLeft w:val="0"/>
                                                          <w:marRight w:val="0"/>
                                                          <w:marTop w:val="0"/>
                                                          <w:marBottom w:val="0"/>
                                                          <w:divBdr>
                                                            <w:top w:val="none" w:sz="0" w:space="0" w:color="auto"/>
                                                            <w:left w:val="none" w:sz="0" w:space="0" w:color="auto"/>
                                                            <w:bottom w:val="none" w:sz="0" w:space="0" w:color="auto"/>
                                                            <w:right w:val="none" w:sz="0" w:space="0" w:color="auto"/>
                                                          </w:divBdr>
                                                          <w:divsChild>
                                                            <w:div w:id="17898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7596">
                                                      <w:marLeft w:val="0"/>
                                                      <w:marRight w:val="0"/>
                                                      <w:marTop w:val="300"/>
                                                      <w:marBottom w:val="0"/>
                                                      <w:divBdr>
                                                        <w:top w:val="single" w:sz="6" w:space="0" w:color="AAAAAA"/>
                                                        <w:left w:val="single" w:sz="6" w:space="0" w:color="AAAAAA"/>
                                                        <w:bottom w:val="single" w:sz="6" w:space="0" w:color="AAAAAA"/>
                                                        <w:right w:val="single" w:sz="6" w:space="0" w:color="AAAAAA"/>
                                                      </w:divBdr>
                                                      <w:divsChild>
                                                        <w:div w:id="1187216312">
                                                          <w:marLeft w:val="0"/>
                                                          <w:marRight w:val="0"/>
                                                          <w:marTop w:val="0"/>
                                                          <w:marBottom w:val="0"/>
                                                          <w:divBdr>
                                                            <w:top w:val="none" w:sz="0" w:space="0" w:color="auto"/>
                                                            <w:left w:val="none" w:sz="0" w:space="0" w:color="auto"/>
                                                            <w:bottom w:val="none" w:sz="0" w:space="0" w:color="auto"/>
                                                            <w:right w:val="none" w:sz="0" w:space="0" w:color="auto"/>
                                                          </w:divBdr>
                                                          <w:divsChild>
                                                            <w:div w:id="4640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1458">
                                                      <w:marLeft w:val="0"/>
                                                      <w:marRight w:val="0"/>
                                                      <w:marTop w:val="300"/>
                                                      <w:marBottom w:val="0"/>
                                                      <w:divBdr>
                                                        <w:top w:val="single" w:sz="6" w:space="0" w:color="AAAAAA"/>
                                                        <w:left w:val="single" w:sz="6" w:space="0" w:color="AAAAAA"/>
                                                        <w:bottom w:val="single" w:sz="6" w:space="0" w:color="AAAAAA"/>
                                                        <w:right w:val="single" w:sz="6" w:space="0" w:color="AAAAAA"/>
                                                      </w:divBdr>
                                                      <w:divsChild>
                                                        <w:div w:id="1066033759">
                                                          <w:marLeft w:val="0"/>
                                                          <w:marRight w:val="0"/>
                                                          <w:marTop w:val="0"/>
                                                          <w:marBottom w:val="0"/>
                                                          <w:divBdr>
                                                            <w:top w:val="none" w:sz="0" w:space="0" w:color="auto"/>
                                                            <w:left w:val="none" w:sz="0" w:space="0" w:color="auto"/>
                                                            <w:bottom w:val="none" w:sz="0" w:space="0" w:color="auto"/>
                                                            <w:right w:val="none" w:sz="0" w:space="0" w:color="auto"/>
                                                          </w:divBdr>
                                                          <w:divsChild>
                                                            <w:div w:id="15099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418">
                                                      <w:marLeft w:val="0"/>
                                                      <w:marRight w:val="0"/>
                                                      <w:marTop w:val="300"/>
                                                      <w:marBottom w:val="0"/>
                                                      <w:divBdr>
                                                        <w:top w:val="single" w:sz="6" w:space="0" w:color="AAAAAA"/>
                                                        <w:left w:val="single" w:sz="6" w:space="0" w:color="AAAAAA"/>
                                                        <w:bottom w:val="single" w:sz="6" w:space="0" w:color="AAAAAA"/>
                                                        <w:right w:val="single" w:sz="6" w:space="0" w:color="AAAAAA"/>
                                                      </w:divBdr>
                                                      <w:divsChild>
                                                        <w:div w:id="504831901">
                                                          <w:marLeft w:val="0"/>
                                                          <w:marRight w:val="0"/>
                                                          <w:marTop w:val="0"/>
                                                          <w:marBottom w:val="0"/>
                                                          <w:divBdr>
                                                            <w:top w:val="none" w:sz="0" w:space="0" w:color="auto"/>
                                                            <w:left w:val="none" w:sz="0" w:space="0" w:color="auto"/>
                                                            <w:bottom w:val="none" w:sz="0" w:space="0" w:color="auto"/>
                                                            <w:right w:val="none" w:sz="0" w:space="0" w:color="auto"/>
                                                          </w:divBdr>
                                                          <w:divsChild>
                                                            <w:div w:id="2043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4241">
                                                      <w:marLeft w:val="0"/>
                                                      <w:marRight w:val="0"/>
                                                      <w:marTop w:val="300"/>
                                                      <w:marBottom w:val="0"/>
                                                      <w:divBdr>
                                                        <w:top w:val="single" w:sz="6" w:space="0" w:color="AAAAAA"/>
                                                        <w:left w:val="single" w:sz="6" w:space="0" w:color="AAAAAA"/>
                                                        <w:bottom w:val="single" w:sz="6" w:space="0" w:color="AAAAAA"/>
                                                        <w:right w:val="single" w:sz="6" w:space="0" w:color="AAAAAA"/>
                                                      </w:divBdr>
                                                      <w:divsChild>
                                                        <w:div w:id="459156147">
                                                          <w:marLeft w:val="0"/>
                                                          <w:marRight w:val="0"/>
                                                          <w:marTop w:val="0"/>
                                                          <w:marBottom w:val="0"/>
                                                          <w:divBdr>
                                                            <w:top w:val="none" w:sz="0" w:space="0" w:color="auto"/>
                                                            <w:left w:val="none" w:sz="0" w:space="0" w:color="auto"/>
                                                            <w:bottom w:val="none" w:sz="0" w:space="0" w:color="auto"/>
                                                            <w:right w:val="none" w:sz="0" w:space="0" w:color="auto"/>
                                                          </w:divBdr>
                                                          <w:divsChild>
                                                            <w:div w:id="17160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717">
                                                      <w:marLeft w:val="0"/>
                                                      <w:marRight w:val="0"/>
                                                      <w:marTop w:val="300"/>
                                                      <w:marBottom w:val="0"/>
                                                      <w:divBdr>
                                                        <w:top w:val="single" w:sz="6" w:space="0" w:color="AAAAAA"/>
                                                        <w:left w:val="single" w:sz="6" w:space="0" w:color="AAAAAA"/>
                                                        <w:bottom w:val="single" w:sz="6" w:space="0" w:color="AAAAAA"/>
                                                        <w:right w:val="single" w:sz="6" w:space="0" w:color="AAAAAA"/>
                                                      </w:divBdr>
                                                      <w:divsChild>
                                                        <w:div w:id="589505637">
                                                          <w:marLeft w:val="0"/>
                                                          <w:marRight w:val="0"/>
                                                          <w:marTop w:val="0"/>
                                                          <w:marBottom w:val="0"/>
                                                          <w:divBdr>
                                                            <w:top w:val="none" w:sz="0" w:space="0" w:color="auto"/>
                                                            <w:left w:val="none" w:sz="0" w:space="0" w:color="auto"/>
                                                            <w:bottom w:val="none" w:sz="0" w:space="0" w:color="auto"/>
                                                            <w:right w:val="none" w:sz="0" w:space="0" w:color="auto"/>
                                                          </w:divBdr>
                                                          <w:divsChild>
                                                            <w:div w:id="4613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2873">
                                                      <w:marLeft w:val="0"/>
                                                      <w:marRight w:val="0"/>
                                                      <w:marTop w:val="300"/>
                                                      <w:marBottom w:val="0"/>
                                                      <w:divBdr>
                                                        <w:top w:val="single" w:sz="6" w:space="0" w:color="AAAAAA"/>
                                                        <w:left w:val="single" w:sz="6" w:space="0" w:color="AAAAAA"/>
                                                        <w:bottom w:val="single" w:sz="6" w:space="0" w:color="AAAAAA"/>
                                                        <w:right w:val="single" w:sz="6" w:space="0" w:color="AAAAAA"/>
                                                      </w:divBdr>
                                                      <w:divsChild>
                                                        <w:div w:id="655301176">
                                                          <w:marLeft w:val="0"/>
                                                          <w:marRight w:val="0"/>
                                                          <w:marTop w:val="0"/>
                                                          <w:marBottom w:val="0"/>
                                                          <w:divBdr>
                                                            <w:top w:val="none" w:sz="0" w:space="0" w:color="auto"/>
                                                            <w:left w:val="none" w:sz="0" w:space="0" w:color="auto"/>
                                                            <w:bottom w:val="none" w:sz="0" w:space="0" w:color="auto"/>
                                                            <w:right w:val="none" w:sz="0" w:space="0" w:color="auto"/>
                                                          </w:divBdr>
                                                          <w:divsChild>
                                                            <w:div w:id="12969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8156">
                                                      <w:marLeft w:val="0"/>
                                                      <w:marRight w:val="0"/>
                                                      <w:marTop w:val="300"/>
                                                      <w:marBottom w:val="0"/>
                                                      <w:divBdr>
                                                        <w:top w:val="single" w:sz="6" w:space="0" w:color="AAAAAA"/>
                                                        <w:left w:val="single" w:sz="6" w:space="0" w:color="AAAAAA"/>
                                                        <w:bottom w:val="single" w:sz="6" w:space="0" w:color="AAAAAA"/>
                                                        <w:right w:val="single" w:sz="6" w:space="0" w:color="AAAAAA"/>
                                                      </w:divBdr>
                                                      <w:divsChild>
                                                        <w:div w:id="101190602">
                                                          <w:marLeft w:val="0"/>
                                                          <w:marRight w:val="0"/>
                                                          <w:marTop w:val="0"/>
                                                          <w:marBottom w:val="0"/>
                                                          <w:divBdr>
                                                            <w:top w:val="none" w:sz="0" w:space="0" w:color="auto"/>
                                                            <w:left w:val="none" w:sz="0" w:space="0" w:color="auto"/>
                                                            <w:bottom w:val="none" w:sz="0" w:space="0" w:color="auto"/>
                                                            <w:right w:val="none" w:sz="0" w:space="0" w:color="auto"/>
                                                          </w:divBdr>
                                                          <w:divsChild>
                                                            <w:div w:id="3942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531">
                                                      <w:marLeft w:val="0"/>
                                                      <w:marRight w:val="0"/>
                                                      <w:marTop w:val="300"/>
                                                      <w:marBottom w:val="0"/>
                                                      <w:divBdr>
                                                        <w:top w:val="single" w:sz="6" w:space="0" w:color="AAAAAA"/>
                                                        <w:left w:val="single" w:sz="6" w:space="0" w:color="AAAAAA"/>
                                                        <w:bottom w:val="single" w:sz="6" w:space="0" w:color="AAAAAA"/>
                                                        <w:right w:val="single" w:sz="6" w:space="0" w:color="AAAAAA"/>
                                                      </w:divBdr>
                                                      <w:divsChild>
                                                        <w:div w:id="1487698529">
                                                          <w:marLeft w:val="0"/>
                                                          <w:marRight w:val="0"/>
                                                          <w:marTop w:val="0"/>
                                                          <w:marBottom w:val="0"/>
                                                          <w:divBdr>
                                                            <w:top w:val="none" w:sz="0" w:space="0" w:color="auto"/>
                                                            <w:left w:val="none" w:sz="0" w:space="0" w:color="auto"/>
                                                            <w:bottom w:val="none" w:sz="0" w:space="0" w:color="auto"/>
                                                            <w:right w:val="none" w:sz="0" w:space="0" w:color="auto"/>
                                                          </w:divBdr>
                                                          <w:divsChild>
                                                            <w:div w:id="20766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042">
                                                      <w:marLeft w:val="0"/>
                                                      <w:marRight w:val="0"/>
                                                      <w:marTop w:val="300"/>
                                                      <w:marBottom w:val="0"/>
                                                      <w:divBdr>
                                                        <w:top w:val="single" w:sz="6" w:space="0" w:color="AAAAAA"/>
                                                        <w:left w:val="single" w:sz="6" w:space="0" w:color="AAAAAA"/>
                                                        <w:bottom w:val="single" w:sz="6" w:space="0" w:color="AAAAAA"/>
                                                        <w:right w:val="single" w:sz="6" w:space="0" w:color="AAAAAA"/>
                                                      </w:divBdr>
                                                      <w:divsChild>
                                                        <w:div w:id="492140242">
                                                          <w:marLeft w:val="0"/>
                                                          <w:marRight w:val="0"/>
                                                          <w:marTop w:val="0"/>
                                                          <w:marBottom w:val="0"/>
                                                          <w:divBdr>
                                                            <w:top w:val="none" w:sz="0" w:space="0" w:color="auto"/>
                                                            <w:left w:val="none" w:sz="0" w:space="0" w:color="auto"/>
                                                            <w:bottom w:val="none" w:sz="0" w:space="0" w:color="auto"/>
                                                            <w:right w:val="none" w:sz="0" w:space="0" w:color="auto"/>
                                                          </w:divBdr>
                                                          <w:divsChild>
                                                            <w:div w:id="3760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651878">
                                  <w:marLeft w:val="0"/>
                                  <w:marRight w:val="0"/>
                                  <w:marTop w:val="0"/>
                                  <w:marBottom w:val="0"/>
                                  <w:divBdr>
                                    <w:top w:val="none" w:sz="0" w:space="0" w:color="BFBFBF"/>
                                    <w:left w:val="single" w:sz="6" w:space="0" w:color="BFBFBF"/>
                                    <w:bottom w:val="none" w:sz="0" w:space="0" w:color="BFBFBF"/>
                                    <w:right w:val="single" w:sz="6" w:space="0" w:color="BFBFBF"/>
                                  </w:divBdr>
                                  <w:divsChild>
                                    <w:div w:id="171336654">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0"/>
                                          <w:divBdr>
                                            <w:top w:val="none" w:sz="0" w:space="0" w:color="auto"/>
                                            <w:left w:val="none" w:sz="0" w:space="0" w:color="auto"/>
                                            <w:bottom w:val="none" w:sz="0" w:space="0" w:color="auto"/>
                                            <w:right w:val="none" w:sz="0" w:space="0" w:color="auto"/>
                                          </w:divBdr>
                                        </w:div>
                                        <w:div w:id="1769889719">
                                          <w:marLeft w:val="0"/>
                                          <w:marRight w:val="0"/>
                                          <w:marTop w:val="0"/>
                                          <w:marBottom w:val="0"/>
                                          <w:divBdr>
                                            <w:top w:val="none" w:sz="0" w:space="0" w:color="auto"/>
                                            <w:left w:val="none" w:sz="0" w:space="0" w:color="auto"/>
                                            <w:bottom w:val="none" w:sz="0" w:space="0" w:color="auto"/>
                                            <w:right w:val="none" w:sz="0" w:space="0" w:color="auto"/>
                                          </w:divBdr>
                                        </w:div>
                                        <w:div w:id="96146651">
                                          <w:marLeft w:val="0"/>
                                          <w:marRight w:val="0"/>
                                          <w:marTop w:val="0"/>
                                          <w:marBottom w:val="0"/>
                                          <w:divBdr>
                                            <w:top w:val="none" w:sz="0" w:space="0" w:color="auto"/>
                                            <w:left w:val="none" w:sz="0" w:space="0" w:color="auto"/>
                                            <w:bottom w:val="none" w:sz="0" w:space="0" w:color="auto"/>
                                            <w:right w:val="none" w:sz="0" w:space="0" w:color="auto"/>
                                          </w:divBdr>
                                        </w:div>
                                        <w:div w:id="601377896">
                                          <w:marLeft w:val="0"/>
                                          <w:marRight w:val="0"/>
                                          <w:marTop w:val="0"/>
                                          <w:marBottom w:val="0"/>
                                          <w:divBdr>
                                            <w:top w:val="none" w:sz="0" w:space="0" w:color="auto"/>
                                            <w:left w:val="none" w:sz="0" w:space="0" w:color="auto"/>
                                            <w:bottom w:val="none" w:sz="0" w:space="0" w:color="auto"/>
                                            <w:right w:val="none" w:sz="0" w:space="0" w:color="auto"/>
                                          </w:divBdr>
                                        </w:div>
                                        <w:div w:id="1312097693">
                                          <w:marLeft w:val="0"/>
                                          <w:marRight w:val="0"/>
                                          <w:marTop w:val="0"/>
                                          <w:marBottom w:val="0"/>
                                          <w:divBdr>
                                            <w:top w:val="none" w:sz="0" w:space="0" w:color="auto"/>
                                            <w:left w:val="none" w:sz="0" w:space="0" w:color="auto"/>
                                            <w:bottom w:val="none" w:sz="0" w:space="0" w:color="auto"/>
                                            <w:right w:val="none" w:sz="0" w:space="0" w:color="auto"/>
                                          </w:divBdr>
                                        </w:div>
                                        <w:div w:id="1511798634">
                                          <w:marLeft w:val="0"/>
                                          <w:marRight w:val="0"/>
                                          <w:marTop w:val="0"/>
                                          <w:marBottom w:val="0"/>
                                          <w:divBdr>
                                            <w:top w:val="none" w:sz="0" w:space="0" w:color="auto"/>
                                            <w:left w:val="none" w:sz="0" w:space="0" w:color="auto"/>
                                            <w:bottom w:val="none" w:sz="0" w:space="0" w:color="auto"/>
                                            <w:right w:val="none" w:sz="0" w:space="0" w:color="auto"/>
                                          </w:divBdr>
                                        </w:div>
                                        <w:div w:id="1844856577">
                                          <w:marLeft w:val="0"/>
                                          <w:marRight w:val="0"/>
                                          <w:marTop w:val="0"/>
                                          <w:marBottom w:val="0"/>
                                          <w:divBdr>
                                            <w:top w:val="none" w:sz="0" w:space="0" w:color="auto"/>
                                            <w:left w:val="none" w:sz="0" w:space="0" w:color="auto"/>
                                            <w:bottom w:val="none" w:sz="0" w:space="0" w:color="auto"/>
                                            <w:right w:val="none" w:sz="0" w:space="0" w:color="auto"/>
                                          </w:divBdr>
                                        </w:div>
                                        <w:div w:id="338431112">
                                          <w:marLeft w:val="0"/>
                                          <w:marRight w:val="0"/>
                                          <w:marTop w:val="0"/>
                                          <w:marBottom w:val="0"/>
                                          <w:divBdr>
                                            <w:top w:val="none" w:sz="0" w:space="0" w:color="auto"/>
                                            <w:left w:val="none" w:sz="0" w:space="0" w:color="auto"/>
                                            <w:bottom w:val="none" w:sz="0" w:space="0" w:color="auto"/>
                                            <w:right w:val="none" w:sz="0" w:space="0" w:color="auto"/>
                                          </w:divBdr>
                                        </w:div>
                                        <w:div w:id="1367564101">
                                          <w:marLeft w:val="0"/>
                                          <w:marRight w:val="0"/>
                                          <w:marTop w:val="0"/>
                                          <w:marBottom w:val="0"/>
                                          <w:divBdr>
                                            <w:top w:val="none" w:sz="0" w:space="0" w:color="auto"/>
                                            <w:left w:val="none" w:sz="0" w:space="0" w:color="auto"/>
                                            <w:bottom w:val="none" w:sz="0" w:space="0" w:color="auto"/>
                                            <w:right w:val="none" w:sz="0" w:space="0" w:color="auto"/>
                                          </w:divBdr>
                                        </w:div>
                                        <w:div w:id="18166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0832">
                              <w:marLeft w:val="108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0398">
          <w:marLeft w:val="0"/>
          <w:marRight w:val="0"/>
          <w:marTop w:val="0"/>
          <w:marBottom w:val="0"/>
          <w:divBdr>
            <w:top w:val="none" w:sz="0" w:space="0" w:color="auto"/>
            <w:left w:val="none" w:sz="0" w:space="0" w:color="auto"/>
            <w:bottom w:val="none" w:sz="0" w:space="0" w:color="auto"/>
            <w:right w:val="none" w:sz="0" w:space="0" w:color="auto"/>
          </w:divBdr>
        </w:div>
      </w:divsChild>
    </w:div>
    <w:div w:id="959074434">
      <w:bodyDiv w:val="1"/>
      <w:marLeft w:val="0"/>
      <w:marRight w:val="0"/>
      <w:marTop w:val="0"/>
      <w:marBottom w:val="0"/>
      <w:divBdr>
        <w:top w:val="none" w:sz="0" w:space="0" w:color="auto"/>
        <w:left w:val="none" w:sz="0" w:space="0" w:color="auto"/>
        <w:bottom w:val="none" w:sz="0" w:space="0" w:color="auto"/>
        <w:right w:val="none" w:sz="0" w:space="0" w:color="auto"/>
      </w:divBdr>
      <w:divsChild>
        <w:div w:id="154930058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67101983">
              <w:blockQuote w:val="1"/>
              <w:marLeft w:val="0"/>
              <w:marRight w:val="0"/>
              <w:marTop w:val="120"/>
              <w:marBottom w:val="120"/>
              <w:divBdr>
                <w:top w:val="none" w:sz="0" w:space="0" w:color="auto"/>
                <w:left w:val="none" w:sz="0" w:space="0" w:color="auto"/>
                <w:bottom w:val="none" w:sz="0" w:space="0" w:color="auto"/>
                <w:right w:val="none" w:sz="0" w:space="0" w:color="auto"/>
              </w:divBdr>
            </w:div>
            <w:div w:id="1183013168">
              <w:blockQuote w:val="1"/>
              <w:marLeft w:val="0"/>
              <w:marRight w:val="0"/>
              <w:marTop w:val="120"/>
              <w:marBottom w:val="120"/>
              <w:divBdr>
                <w:top w:val="none" w:sz="0" w:space="0" w:color="auto"/>
                <w:left w:val="none" w:sz="0" w:space="0" w:color="auto"/>
                <w:bottom w:val="none" w:sz="0" w:space="0" w:color="auto"/>
                <w:right w:val="none" w:sz="0" w:space="0" w:color="auto"/>
              </w:divBdr>
            </w:div>
            <w:div w:id="376274433">
              <w:blockQuote w:val="1"/>
              <w:marLeft w:val="0"/>
              <w:marRight w:val="0"/>
              <w:marTop w:val="120"/>
              <w:marBottom w:val="120"/>
              <w:divBdr>
                <w:top w:val="none" w:sz="0" w:space="0" w:color="auto"/>
                <w:left w:val="none" w:sz="0" w:space="0" w:color="auto"/>
                <w:bottom w:val="none" w:sz="0" w:space="0" w:color="auto"/>
                <w:right w:val="none" w:sz="0" w:space="0" w:color="auto"/>
              </w:divBdr>
            </w:div>
            <w:div w:id="649359007">
              <w:blockQuote w:val="1"/>
              <w:marLeft w:val="0"/>
              <w:marRight w:val="0"/>
              <w:marTop w:val="120"/>
              <w:marBottom w:val="120"/>
              <w:divBdr>
                <w:top w:val="none" w:sz="0" w:space="0" w:color="auto"/>
                <w:left w:val="none" w:sz="0" w:space="0" w:color="auto"/>
                <w:bottom w:val="none" w:sz="0" w:space="0" w:color="auto"/>
                <w:right w:val="none" w:sz="0" w:space="0" w:color="auto"/>
              </w:divBdr>
            </w:div>
            <w:div w:id="1992444646">
              <w:blockQuote w:val="1"/>
              <w:marLeft w:val="0"/>
              <w:marRight w:val="0"/>
              <w:marTop w:val="120"/>
              <w:marBottom w:val="120"/>
              <w:divBdr>
                <w:top w:val="none" w:sz="0" w:space="0" w:color="auto"/>
                <w:left w:val="none" w:sz="0" w:space="0" w:color="auto"/>
                <w:bottom w:val="none" w:sz="0" w:space="0" w:color="auto"/>
                <w:right w:val="none" w:sz="0" w:space="0" w:color="auto"/>
              </w:divBdr>
            </w:div>
            <w:div w:id="174059365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rliament.tas.gov.au/ha/tpapers/2021/p2021/HATP25.1_22_06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Clarkson, Wendy</dc:creator>
  <cp:keywords/>
  <dc:description/>
  <cp:lastModifiedBy>Morris, Alice</cp:lastModifiedBy>
  <cp:revision>4</cp:revision>
  <cp:lastPrinted>2022-02-28T03:00:00Z</cp:lastPrinted>
  <dcterms:created xsi:type="dcterms:W3CDTF">2022-03-01T23:38:00Z</dcterms:created>
  <dcterms:modified xsi:type="dcterms:W3CDTF">2022-03-02T02:14:00Z</dcterms:modified>
</cp:coreProperties>
</file>