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25E2" w14:textId="77777777" w:rsidR="008C6C5B" w:rsidRPr="001B78DF" w:rsidRDefault="0003223D" w:rsidP="000B4171">
      <w:pPr>
        <w:pStyle w:val="Heading1"/>
      </w:pPr>
      <w:r>
        <w:t>ELECTORAL ACT REVIEW</w:t>
      </w:r>
    </w:p>
    <w:p w14:paraId="271E4D95" w14:textId="77777777" w:rsidR="001B78DF" w:rsidRPr="006E16BD" w:rsidRDefault="001B78DF" w:rsidP="00F138AD">
      <w:pPr>
        <w:pStyle w:val="Heading2"/>
        <w:rPr>
          <w:caps/>
        </w:rPr>
      </w:pPr>
      <w:r w:rsidRPr="006E16BD">
        <w:t>Overview</w:t>
      </w:r>
    </w:p>
    <w:p w14:paraId="509317FB" w14:textId="77777777" w:rsidR="001B78DF" w:rsidRDefault="001B78DF" w:rsidP="009F602D">
      <w:pPr>
        <w:spacing w:before="120" w:after="180"/>
        <w:jc w:val="both"/>
        <w:rPr>
          <w:rFonts w:ascii="Gill Sans MT" w:hAnsi="Gill Sans MT"/>
          <w:bCs/>
          <w:i/>
        </w:rPr>
        <w:sectPr w:rsidR="001B78DF" w:rsidSect="007427BF">
          <w:headerReference w:type="default" r:id="rId8"/>
          <w:footerReference w:type="default" r:id="rId9"/>
          <w:pgSz w:w="11900" w:h="16840"/>
          <w:pgMar w:top="2835" w:right="1797" w:bottom="1440" w:left="1418" w:header="709" w:footer="484" w:gutter="0"/>
          <w:cols w:space="708"/>
        </w:sectPr>
      </w:pPr>
    </w:p>
    <w:p w14:paraId="360BE3A2" w14:textId="5ED3A97E" w:rsidR="004E638D" w:rsidRPr="004E638D" w:rsidRDefault="004E638D" w:rsidP="004E638D">
      <w:pPr>
        <w:jc w:val="both"/>
        <w:rPr>
          <w:rFonts w:ascii="Gill Sans MT" w:hAnsi="Gill Sans MT"/>
          <w:szCs w:val="24"/>
        </w:rPr>
      </w:pPr>
      <w:r w:rsidRPr="004E638D">
        <w:rPr>
          <w:rFonts w:ascii="Gill Sans MT" w:hAnsi="Gill Sans MT"/>
          <w:szCs w:val="24"/>
        </w:rPr>
        <w:t xml:space="preserve">On 3 May 2018, the Premier, </w:t>
      </w:r>
      <w:r w:rsidR="004D0C90">
        <w:rPr>
          <w:rFonts w:ascii="Gill Sans MT" w:hAnsi="Gill Sans MT"/>
          <w:szCs w:val="24"/>
        </w:rPr>
        <w:t xml:space="preserve">Hon. </w:t>
      </w:r>
      <w:r w:rsidRPr="004E638D">
        <w:rPr>
          <w:rFonts w:ascii="Gill Sans MT" w:hAnsi="Gill Sans MT"/>
          <w:szCs w:val="24"/>
        </w:rPr>
        <w:t xml:space="preserve">Will Hodgman </w:t>
      </w:r>
      <w:r w:rsidR="004D0C90">
        <w:rPr>
          <w:rFonts w:ascii="Gill Sans MT" w:hAnsi="Gill Sans MT"/>
          <w:szCs w:val="24"/>
        </w:rPr>
        <w:t xml:space="preserve">MP </w:t>
      </w:r>
      <w:r w:rsidRPr="004E638D">
        <w:rPr>
          <w:rFonts w:ascii="Gill Sans MT" w:hAnsi="Gill Sans MT"/>
          <w:szCs w:val="24"/>
        </w:rPr>
        <w:t xml:space="preserve">announced that the Government would conduct a review into Tasmania’s </w:t>
      </w:r>
      <w:r w:rsidRPr="004D0C90">
        <w:rPr>
          <w:rFonts w:ascii="Gill Sans MT" w:hAnsi="Gill Sans MT"/>
          <w:i/>
          <w:szCs w:val="24"/>
        </w:rPr>
        <w:t>Electoral Act</w:t>
      </w:r>
      <w:r w:rsidRPr="004E638D">
        <w:rPr>
          <w:rFonts w:ascii="Gill Sans MT" w:hAnsi="Gill Sans MT"/>
          <w:szCs w:val="24"/>
        </w:rPr>
        <w:t xml:space="preserve"> and associated election laws. </w:t>
      </w:r>
    </w:p>
    <w:p w14:paraId="01288377" w14:textId="77777777" w:rsidR="004E638D" w:rsidRPr="004E638D" w:rsidRDefault="004B70EE" w:rsidP="004E638D">
      <w:pPr>
        <w:jc w:val="both"/>
        <w:rPr>
          <w:rFonts w:ascii="Gill Sans MT" w:hAnsi="Gill Sans MT"/>
          <w:szCs w:val="24"/>
        </w:rPr>
      </w:pPr>
      <w:r>
        <w:rPr>
          <w:rFonts w:ascii="Gill Sans MT" w:hAnsi="Gill Sans MT"/>
          <w:szCs w:val="24"/>
        </w:rPr>
        <w:t>T</w:t>
      </w:r>
      <w:r w:rsidR="004E638D" w:rsidRPr="004E638D">
        <w:rPr>
          <w:rFonts w:ascii="Gill Sans MT" w:hAnsi="Gill Sans MT"/>
          <w:szCs w:val="24"/>
        </w:rPr>
        <w:t xml:space="preserve">he </w:t>
      </w:r>
      <w:r w:rsidR="00E60DB4">
        <w:rPr>
          <w:rFonts w:ascii="Gill Sans MT" w:hAnsi="Gill Sans MT"/>
          <w:szCs w:val="24"/>
        </w:rPr>
        <w:t>Terms of Reference for the Review</w:t>
      </w:r>
      <w:r w:rsidR="004F52F4">
        <w:rPr>
          <w:rFonts w:ascii="Gill Sans MT" w:hAnsi="Gill Sans MT"/>
          <w:szCs w:val="24"/>
        </w:rPr>
        <w:t xml:space="preserve"> are</w:t>
      </w:r>
      <w:r w:rsidR="00E60DB4">
        <w:rPr>
          <w:rFonts w:ascii="Gill Sans MT" w:hAnsi="Gill Sans MT"/>
          <w:szCs w:val="24"/>
        </w:rPr>
        <w:t>:</w:t>
      </w:r>
    </w:p>
    <w:p w14:paraId="0A4815E5" w14:textId="5C475477" w:rsidR="004E638D" w:rsidRDefault="004E638D" w:rsidP="004E638D">
      <w:pPr>
        <w:pStyle w:val="ListParagraph"/>
        <w:numPr>
          <w:ilvl w:val="0"/>
          <w:numId w:val="32"/>
        </w:numPr>
        <w:spacing w:before="0" w:after="80" w:line="259" w:lineRule="auto"/>
        <w:ind w:left="714" w:hanging="357"/>
        <w:contextualSpacing w:val="0"/>
        <w:jc w:val="both"/>
        <w:rPr>
          <w:rFonts w:ascii="Gill Sans MT" w:hAnsi="Gill Sans MT"/>
          <w:szCs w:val="24"/>
        </w:rPr>
      </w:pPr>
      <w:r w:rsidRPr="004E638D">
        <w:rPr>
          <w:rFonts w:ascii="Gill Sans MT" w:hAnsi="Gill Sans MT"/>
          <w:szCs w:val="24"/>
        </w:rPr>
        <w:t xml:space="preserve">Modernising the current Tasmanian </w:t>
      </w:r>
      <w:r w:rsidRPr="004E638D">
        <w:rPr>
          <w:rFonts w:ascii="Gill Sans MT" w:hAnsi="Gill Sans MT"/>
          <w:i/>
          <w:szCs w:val="24"/>
        </w:rPr>
        <w:t>Electoral Act</w:t>
      </w:r>
      <w:r w:rsidR="004D0C90">
        <w:rPr>
          <w:rFonts w:ascii="Gill Sans MT" w:hAnsi="Gill Sans MT"/>
          <w:i/>
          <w:szCs w:val="24"/>
        </w:rPr>
        <w:t xml:space="preserve"> 2004</w:t>
      </w:r>
      <w:r w:rsidRPr="004E638D">
        <w:rPr>
          <w:rFonts w:ascii="Gill Sans MT" w:hAnsi="Gill Sans MT"/>
          <w:szCs w:val="24"/>
        </w:rPr>
        <w:t xml:space="preserve"> with specific examination of sections including 191(1)(b); 196(1) and 198(1)(b)</w:t>
      </w:r>
      <w:r w:rsidR="00D50396">
        <w:rPr>
          <w:rFonts w:ascii="Gill Sans MT" w:hAnsi="Gill Sans MT"/>
          <w:szCs w:val="24"/>
        </w:rPr>
        <w:t>;</w:t>
      </w:r>
    </w:p>
    <w:p w14:paraId="0A7CA55F" w14:textId="77777777" w:rsidR="004E638D" w:rsidRDefault="004E638D" w:rsidP="004E638D">
      <w:pPr>
        <w:pStyle w:val="ListParagraph"/>
        <w:numPr>
          <w:ilvl w:val="0"/>
          <w:numId w:val="32"/>
        </w:numPr>
        <w:spacing w:before="0" w:after="80" w:line="259" w:lineRule="auto"/>
        <w:ind w:left="714" w:hanging="357"/>
        <w:contextualSpacing w:val="0"/>
        <w:jc w:val="both"/>
        <w:rPr>
          <w:rFonts w:ascii="Gill Sans MT" w:hAnsi="Gill Sans MT"/>
          <w:szCs w:val="24"/>
        </w:rPr>
      </w:pPr>
      <w:r w:rsidRPr="004E638D">
        <w:rPr>
          <w:rFonts w:ascii="Gill Sans MT" w:hAnsi="Gill Sans MT"/>
          <w:szCs w:val="24"/>
        </w:rPr>
        <w:t>Whether state-based disclosure rules should be introduced, and, if so, what they should include; and</w:t>
      </w:r>
    </w:p>
    <w:p w14:paraId="6AE0EECF" w14:textId="77777777" w:rsidR="004E638D" w:rsidRPr="004E638D" w:rsidRDefault="004E638D" w:rsidP="004E638D">
      <w:pPr>
        <w:pStyle w:val="ListParagraph"/>
        <w:numPr>
          <w:ilvl w:val="0"/>
          <w:numId w:val="32"/>
        </w:numPr>
        <w:spacing w:before="0" w:after="160" w:line="259" w:lineRule="auto"/>
        <w:jc w:val="both"/>
        <w:rPr>
          <w:rFonts w:ascii="Gill Sans MT" w:hAnsi="Gill Sans MT"/>
          <w:szCs w:val="24"/>
        </w:rPr>
      </w:pPr>
      <w:r w:rsidRPr="004E638D">
        <w:rPr>
          <w:rFonts w:ascii="Gill Sans MT" w:hAnsi="Gill Sans MT"/>
          <w:szCs w:val="24"/>
        </w:rPr>
        <w:t>The level of regulation of third parties, including unions, during Election campaigns</w:t>
      </w:r>
    </w:p>
    <w:p w14:paraId="523673B8" w14:textId="77777777" w:rsidR="009B4766" w:rsidRDefault="00BA0CF9" w:rsidP="004E638D">
      <w:pPr>
        <w:jc w:val="both"/>
        <w:rPr>
          <w:rFonts w:ascii="Gill Sans MT" w:hAnsi="Gill Sans MT"/>
          <w:szCs w:val="24"/>
        </w:rPr>
      </w:pPr>
      <w:r w:rsidRPr="00BA0CF9">
        <w:rPr>
          <w:rFonts w:ascii="Gill Sans MT" w:hAnsi="Gill Sans MT"/>
          <w:szCs w:val="24"/>
        </w:rPr>
        <w:t>The review will be guided by two governing principles; protecting freedom of speech, with note to Constitutional implications, and minimal cost to the taxpayer.</w:t>
      </w:r>
    </w:p>
    <w:p w14:paraId="0E024D76" w14:textId="14BAC897" w:rsidR="004F52F4" w:rsidRPr="006E16BD" w:rsidRDefault="004F52F4" w:rsidP="004F52F4">
      <w:pPr>
        <w:jc w:val="both"/>
        <w:rPr>
          <w:rFonts w:ascii="Gill Sans MT" w:hAnsi="Gill Sans MT"/>
          <w:szCs w:val="24"/>
        </w:rPr>
      </w:pPr>
      <w:r w:rsidRPr="006E16BD">
        <w:rPr>
          <w:rFonts w:ascii="Gill Sans MT" w:hAnsi="Gill Sans MT"/>
          <w:szCs w:val="24"/>
        </w:rPr>
        <w:t xml:space="preserve">The </w:t>
      </w:r>
      <w:r w:rsidR="000B3BF3">
        <w:rPr>
          <w:rFonts w:ascii="Gill Sans MT" w:hAnsi="Gill Sans MT"/>
          <w:szCs w:val="24"/>
        </w:rPr>
        <w:t xml:space="preserve">recent State </w:t>
      </w:r>
      <w:r w:rsidRPr="006E16BD">
        <w:rPr>
          <w:rFonts w:ascii="Gill Sans MT" w:hAnsi="Gill Sans MT"/>
          <w:szCs w:val="24"/>
        </w:rPr>
        <w:t>Election highlighted that some provisions in the</w:t>
      </w:r>
      <w:r w:rsidR="00A44206">
        <w:rPr>
          <w:rFonts w:ascii="Gill Sans MT" w:hAnsi="Gill Sans MT"/>
          <w:szCs w:val="24"/>
        </w:rPr>
        <w:t xml:space="preserve"> Tasmanian</w:t>
      </w:r>
      <w:r w:rsidRPr="006E16BD">
        <w:rPr>
          <w:rFonts w:ascii="Gill Sans MT" w:hAnsi="Gill Sans MT"/>
          <w:szCs w:val="24"/>
        </w:rPr>
        <w:t xml:space="preserve"> </w:t>
      </w:r>
      <w:r w:rsidRPr="00A44206">
        <w:rPr>
          <w:rFonts w:ascii="Gill Sans MT" w:hAnsi="Gill Sans MT"/>
          <w:i/>
          <w:szCs w:val="24"/>
        </w:rPr>
        <w:t>Electo</w:t>
      </w:r>
      <w:r w:rsidR="004D0C90">
        <w:rPr>
          <w:rFonts w:ascii="Gill Sans MT" w:hAnsi="Gill Sans MT"/>
          <w:i/>
          <w:szCs w:val="24"/>
        </w:rPr>
        <w:t>ral Act</w:t>
      </w:r>
      <w:r w:rsidR="00A44206">
        <w:rPr>
          <w:rFonts w:ascii="Gill Sans MT" w:hAnsi="Gill Sans MT"/>
          <w:szCs w:val="24"/>
        </w:rPr>
        <w:t xml:space="preserve"> </w:t>
      </w:r>
      <w:r w:rsidRPr="006E16BD">
        <w:rPr>
          <w:rFonts w:ascii="Gill Sans MT" w:hAnsi="Gill Sans MT"/>
          <w:szCs w:val="24"/>
        </w:rPr>
        <w:t xml:space="preserve">and associated election laws have failed to keep pace with rapid changes in technology, social media and community expectations. </w:t>
      </w:r>
    </w:p>
    <w:p w14:paraId="096265C3" w14:textId="77777777" w:rsidR="004F52F4" w:rsidRPr="006E16BD" w:rsidRDefault="00A44206" w:rsidP="004F52F4">
      <w:pPr>
        <w:jc w:val="both"/>
        <w:rPr>
          <w:rFonts w:ascii="Gill Sans MT" w:hAnsi="Gill Sans MT"/>
          <w:szCs w:val="24"/>
        </w:rPr>
      </w:pPr>
      <w:r>
        <w:rPr>
          <w:rFonts w:ascii="Gill Sans MT" w:hAnsi="Gill Sans MT"/>
          <w:szCs w:val="24"/>
        </w:rPr>
        <w:t>The Government recognises</w:t>
      </w:r>
      <w:r w:rsidR="004F52F4" w:rsidRPr="006E16BD">
        <w:rPr>
          <w:rFonts w:ascii="Gill Sans MT" w:hAnsi="Gill Sans MT"/>
          <w:szCs w:val="24"/>
        </w:rPr>
        <w:t xml:space="preserve"> the importance of taking this opportunity to listen to all Tasmanians and ensure </w:t>
      </w:r>
      <w:r>
        <w:rPr>
          <w:rFonts w:ascii="Gill Sans MT" w:hAnsi="Gill Sans MT"/>
          <w:szCs w:val="24"/>
        </w:rPr>
        <w:t xml:space="preserve">that </w:t>
      </w:r>
      <w:r w:rsidR="004F52F4" w:rsidRPr="006E16BD">
        <w:rPr>
          <w:rFonts w:ascii="Gill Sans MT" w:hAnsi="Gill Sans MT"/>
          <w:szCs w:val="24"/>
        </w:rPr>
        <w:t>we have a robust, democratic and fair electoral system that reflects Tasmania today.</w:t>
      </w:r>
      <w:r w:rsidR="004F52F4">
        <w:rPr>
          <w:rFonts w:ascii="Gill Sans MT" w:hAnsi="Gill Sans MT"/>
          <w:szCs w:val="24"/>
        </w:rPr>
        <w:t xml:space="preserve"> </w:t>
      </w:r>
    </w:p>
    <w:p w14:paraId="1EE69EAB" w14:textId="77777777" w:rsidR="004E0BD7" w:rsidRDefault="004F52F4" w:rsidP="006E16BD">
      <w:pPr>
        <w:jc w:val="both"/>
        <w:rPr>
          <w:rFonts w:ascii="Gill Sans MT" w:hAnsi="Gill Sans MT"/>
          <w:szCs w:val="24"/>
        </w:rPr>
      </w:pPr>
      <w:r w:rsidRPr="006E16BD">
        <w:rPr>
          <w:rFonts w:ascii="Gill Sans MT" w:hAnsi="Gill Sans MT"/>
          <w:szCs w:val="24"/>
        </w:rPr>
        <w:t>The process will give every Tasmanian – political parties, organisations and the broader community – a chance to have their say.</w:t>
      </w:r>
      <w:r>
        <w:rPr>
          <w:rFonts w:ascii="Gill Sans MT" w:hAnsi="Gill Sans MT"/>
          <w:szCs w:val="24"/>
        </w:rPr>
        <w:t xml:space="preserve"> </w:t>
      </w:r>
      <w:r w:rsidR="00D536EE">
        <w:rPr>
          <w:rFonts w:ascii="Gill Sans MT" w:hAnsi="Gill Sans MT"/>
          <w:szCs w:val="24"/>
        </w:rPr>
        <w:t xml:space="preserve"> </w:t>
      </w:r>
      <w:r w:rsidRPr="004E638D">
        <w:rPr>
          <w:rFonts w:ascii="Gill Sans MT" w:hAnsi="Gill Sans MT"/>
          <w:szCs w:val="24"/>
        </w:rPr>
        <w:t xml:space="preserve">The review will receive written submissions from any person or group that wishes to have a say. </w:t>
      </w:r>
      <w:r>
        <w:rPr>
          <w:rFonts w:ascii="Gill Sans MT" w:hAnsi="Gill Sans MT"/>
          <w:szCs w:val="24"/>
        </w:rPr>
        <w:t xml:space="preserve"> </w:t>
      </w:r>
    </w:p>
    <w:p w14:paraId="1061BBC6" w14:textId="312036CA" w:rsidR="006E16BD" w:rsidRPr="00A44206" w:rsidRDefault="006E16BD" w:rsidP="00A44206">
      <w:pPr>
        <w:jc w:val="both"/>
        <w:rPr>
          <w:rFonts w:ascii="Gill Sans MT" w:hAnsi="Gill Sans MT"/>
          <w:szCs w:val="24"/>
        </w:rPr>
      </w:pPr>
      <w:r w:rsidRPr="006E16BD">
        <w:rPr>
          <w:rFonts w:ascii="Gill Sans MT" w:hAnsi="Gill Sans MT"/>
          <w:szCs w:val="24"/>
        </w:rPr>
        <w:t>The review will commence with a call for public submissions on the terms of reference</w:t>
      </w:r>
      <w:r w:rsidR="004F52F4">
        <w:rPr>
          <w:rFonts w:ascii="Gill Sans MT" w:hAnsi="Gill Sans MT"/>
          <w:szCs w:val="24"/>
        </w:rPr>
        <w:t xml:space="preserve"> and t</w:t>
      </w:r>
      <w:r w:rsidRPr="006E16BD">
        <w:rPr>
          <w:rFonts w:ascii="Gill Sans MT" w:hAnsi="Gill Sans MT"/>
          <w:szCs w:val="24"/>
        </w:rPr>
        <w:t xml:space="preserve">argeted stakeholder consultation will also be undertaken.  </w:t>
      </w:r>
      <w:r w:rsidR="004E0BD7">
        <w:rPr>
          <w:rFonts w:ascii="Gill Sans MT" w:hAnsi="Gill Sans MT"/>
          <w:szCs w:val="24"/>
        </w:rPr>
        <w:t xml:space="preserve">An interim report will be provided to the </w:t>
      </w:r>
      <w:r w:rsidR="004E0BD7" w:rsidRPr="006E16BD">
        <w:rPr>
          <w:rFonts w:ascii="Gill Sans MT" w:hAnsi="Gill Sans MT"/>
          <w:szCs w:val="24"/>
        </w:rPr>
        <w:t xml:space="preserve">Government by the end of </w:t>
      </w:r>
      <w:r w:rsidR="004E0BD7">
        <w:rPr>
          <w:rFonts w:ascii="Gill Sans MT" w:hAnsi="Gill Sans MT"/>
          <w:szCs w:val="24"/>
        </w:rPr>
        <w:t>2018, with a Final Report by</w:t>
      </w:r>
      <w:r w:rsidR="004E0BD7" w:rsidRPr="006E16BD">
        <w:rPr>
          <w:rFonts w:ascii="Gill Sans MT" w:hAnsi="Gill Sans MT"/>
          <w:szCs w:val="24"/>
        </w:rPr>
        <w:t xml:space="preserve"> mid-2019</w:t>
      </w:r>
      <w:r w:rsidR="0093315F">
        <w:rPr>
          <w:rFonts w:ascii="Gill Sans MT" w:hAnsi="Gill Sans MT"/>
          <w:szCs w:val="24"/>
        </w:rPr>
        <w:t xml:space="preserve">.  </w:t>
      </w:r>
      <w:r w:rsidR="00A44206">
        <w:rPr>
          <w:rFonts w:ascii="Gill Sans MT" w:hAnsi="Gill Sans MT"/>
          <w:szCs w:val="24"/>
        </w:rPr>
        <w:t>T</w:t>
      </w:r>
      <w:r w:rsidR="00A44206" w:rsidRPr="006E16BD">
        <w:rPr>
          <w:rFonts w:ascii="Gill Sans MT" w:hAnsi="Gill Sans MT"/>
          <w:szCs w:val="24"/>
        </w:rPr>
        <w:t xml:space="preserve">he Government will </w:t>
      </w:r>
      <w:r w:rsidR="00A44206">
        <w:rPr>
          <w:rFonts w:ascii="Gill Sans MT" w:hAnsi="Gill Sans MT"/>
          <w:szCs w:val="24"/>
        </w:rPr>
        <w:t xml:space="preserve">then </w:t>
      </w:r>
      <w:r w:rsidR="004B3B15">
        <w:rPr>
          <w:rFonts w:ascii="Gill Sans MT" w:hAnsi="Gill Sans MT"/>
          <w:szCs w:val="24"/>
        </w:rPr>
        <w:t>progress</w:t>
      </w:r>
      <w:r w:rsidR="00A44206" w:rsidRPr="006E16BD">
        <w:rPr>
          <w:rFonts w:ascii="Gill Sans MT" w:hAnsi="Gill Sans MT"/>
          <w:szCs w:val="24"/>
        </w:rPr>
        <w:t xml:space="preserve"> any legislative reforms</w:t>
      </w:r>
      <w:r w:rsidR="00CC06D0">
        <w:rPr>
          <w:rFonts w:ascii="Gill Sans MT" w:hAnsi="Gill Sans MT"/>
          <w:szCs w:val="24"/>
        </w:rPr>
        <w:t xml:space="preserve"> to address recommendations arising from the Review</w:t>
      </w:r>
      <w:r w:rsidR="00A44206" w:rsidRPr="006E16BD">
        <w:rPr>
          <w:rFonts w:ascii="Gill Sans MT" w:hAnsi="Gill Sans MT"/>
          <w:szCs w:val="24"/>
        </w:rPr>
        <w:t>.</w:t>
      </w:r>
      <w:r w:rsidR="00A44206">
        <w:rPr>
          <w:rFonts w:ascii="Gill Sans MT" w:hAnsi="Gill Sans MT"/>
          <w:szCs w:val="24"/>
        </w:rPr>
        <w:t xml:space="preserve"> </w:t>
      </w:r>
      <w:r w:rsidR="004E7B11">
        <w:rPr>
          <w:rFonts w:ascii="Gill Sans MT" w:hAnsi="Gill Sans MT"/>
          <w:szCs w:val="24"/>
        </w:rPr>
        <w:t xml:space="preserve"> </w:t>
      </w:r>
    </w:p>
    <w:p w14:paraId="106D5082" w14:textId="77777777" w:rsidR="006E16BD" w:rsidRPr="006E16BD" w:rsidRDefault="006E16BD" w:rsidP="000B4171">
      <w:pPr>
        <w:pStyle w:val="Heading2"/>
        <w:rPr>
          <w:caps/>
        </w:rPr>
      </w:pPr>
      <w:r w:rsidRPr="006E16BD">
        <w:lastRenderedPageBreak/>
        <w:t xml:space="preserve">Terms of Reference </w:t>
      </w:r>
    </w:p>
    <w:p w14:paraId="4CB639D5" w14:textId="77777777" w:rsidR="00A7675E" w:rsidRDefault="0003223D" w:rsidP="000B4171">
      <w:pPr>
        <w:pStyle w:val="Heading3"/>
        <w:rPr>
          <w:caps/>
        </w:rPr>
      </w:pPr>
      <w:r>
        <w:t>1. Modernising the cur</w:t>
      </w:r>
      <w:bookmarkStart w:id="0" w:name="_GoBack"/>
      <w:bookmarkEnd w:id="0"/>
      <w:r>
        <w:t xml:space="preserve">rent Tasmanian </w:t>
      </w:r>
      <w:r w:rsidRPr="004D0C90">
        <w:rPr>
          <w:i/>
        </w:rPr>
        <w:t>Electoral Act</w:t>
      </w:r>
      <w:r>
        <w:t xml:space="preserve"> with specific examination of certain sections</w:t>
      </w:r>
    </w:p>
    <w:p w14:paraId="05D57979" w14:textId="77777777" w:rsidR="00925B6F" w:rsidRDefault="0003223D" w:rsidP="00925B6F">
      <w:pPr>
        <w:jc w:val="both"/>
        <w:rPr>
          <w:rFonts w:ascii="Gill Sans MT" w:hAnsi="Gill Sans MT"/>
          <w:szCs w:val="24"/>
        </w:rPr>
      </w:pPr>
      <w:r w:rsidRPr="0003223D">
        <w:rPr>
          <w:rFonts w:ascii="Gill Sans MT" w:hAnsi="Gill Sans MT"/>
          <w:szCs w:val="24"/>
        </w:rPr>
        <w:t xml:space="preserve">The sections of the </w:t>
      </w:r>
      <w:r w:rsidRPr="004D0C90">
        <w:rPr>
          <w:rFonts w:ascii="Gill Sans MT" w:hAnsi="Gill Sans MT"/>
          <w:i/>
          <w:szCs w:val="24"/>
        </w:rPr>
        <w:t>Electoral Act</w:t>
      </w:r>
      <w:r w:rsidRPr="0003223D">
        <w:rPr>
          <w:rFonts w:ascii="Gill Sans MT" w:hAnsi="Gill Sans MT"/>
          <w:szCs w:val="24"/>
        </w:rPr>
        <w:t xml:space="preserve"> mentioned in the Terms of Reference are provided below</w:t>
      </w:r>
      <w:r w:rsidR="004E06CC">
        <w:rPr>
          <w:rFonts w:ascii="Gill Sans MT" w:hAnsi="Gill Sans MT"/>
          <w:szCs w:val="24"/>
        </w:rPr>
        <w:t>.</w:t>
      </w:r>
      <w:r w:rsidR="00925B6F">
        <w:rPr>
          <w:rFonts w:ascii="Gill Sans MT" w:hAnsi="Gill Sans MT"/>
          <w:szCs w:val="24"/>
        </w:rPr>
        <w:t xml:space="preserve"> </w:t>
      </w:r>
      <w:r w:rsidR="004806B1">
        <w:rPr>
          <w:rFonts w:ascii="Gill Sans MT" w:hAnsi="Gill Sans MT"/>
          <w:szCs w:val="24"/>
        </w:rPr>
        <w:t xml:space="preserve"> </w:t>
      </w:r>
      <w:r w:rsidR="003303A4">
        <w:rPr>
          <w:rFonts w:ascii="Gill Sans MT" w:hAnsi="Gill Sans MT"/>
          <w:szCs w:val="24"/>
        </w:rPr>
        <w:br/>
        <w:t>There has been some criticism</w:t>
      </w:r>
      <w:r w:rsidR="00925B6F" w:rsidRPr="0003223D">
        <w:rPr>
          <w:rFonts w:ascii="Gill Sans MT" w:hAnsi="Gill Sans MT"/>
          <w:szCs w:val="24"/>
        </w:rPr>
        <w:t xml:space="preserve"> that </w:t>
      </w:r>
      <w:r w:rsidR="00F20EF5">
        <w:rPr>
          <w:rFonts w:ascii="Gill Sans MT" w:hAnsi="Gill Sans MT"/>
          <w:szCs w:val="24"/>
        </w:rPr>
        <w:t>these</w:t>
      </w:r>
      <w:r w:rsidR="00925B6F">
        <w:rPr>
          <w:rFonts w:ascii="Gill Sans MT" w:hAnsi="Gill Sans MT"/>
          <w:szCs w:val="24"/>
        </w:rPr>
        <w:t xml:space="preserve"> s</w:t>
      </w:r>
      <w:r w:rsidR="00925B6F" w:rsidRPr="0003223D">
        <w:rPr>
          <w:rFonts w:ascii="Gill Sans MT" w:hAnsi="Gill Sans MT"/>
          <w:szCs w:val="24"/>
        </w:rPr>
        <w:t>ection</w:t>
      </w:r>
      <w:r w:rsidR="00925B6F">
        <w:rPr>
          <w:rFonts w:ascii="Gill Sans MT" w:hAnsi="Gill Sans MT"/>
          <w:szCs w:val="24"/>
        </w:rPr>
        <w:t>s</w:t>
      </w:r>
      <w:r w:rsidR="00925B6F" w:rsidRPr="0003223D">
        <w:rPr>
          <w:rFonts w:ascii="Gill Sans MT" w:hAnsi="Gill Sans MT"/>
          <w:szCs w:val="24"/>
        </w:rPr>
        <w:t xml:space="preserve"> </w:t>
      </w:r>
      <w:r w:rsidR="00925B6F">
        <w:rPr>
          <w:rFonts w:ascii="Gill Sans MT" w:hAnsi="Gill Sans MT"/>
          <w:szCs w:val="24"/>
        </w:rPr>
        <w:t xml:space="preserve">may </w:t>
      </w:r>
      <w:r w:rsidR="00925B6F" w:rsidRPr="0003223D">
        <w:rPr>
          <w:rFonts w:ascii="Gill Sans MT" w:hAnsi="Gill Sans MT"/>
          <w:szCs w:val="24"/>
        </w:rPr>
        <w:t>not apply effectively to online communications</w:t>
      </w:r>
      <w:r w:rsidR="00925B6F">
        <w:rPr>
          <w:rFonts w:ascii="Gill Sans MT" w:hAnsi="Gill Sans MT"/>
          <w:szCs w:val="24"/>
        </w:rPr>
        <w:t xml:space="preserve"> and may require review</w:t>
      </w:r>
      <w:r w:rsidR="003303A4">
        <w:rPr>
          <w:rFonts w:ascii="Gill Sans MT" w:hAnsi="Gill Sans MT"/>
          <w:szCs w:val="24"/>
        </w:rPr>
        <w:t xml:space="preserve"> in a digital age</w:t>
      </w:r>
      <w:r w:rsidR="00925B6F" w:rsidRPr="0003223D">
        <w:rPr>
          <w:rFonts w:ascii="Gill Sans MT" w:hAnsi="Gill Sans MT"/>
          <w:szCs w:val="24"/>
        </w:rPr>
        <w:t>.</w:t>
      </w:r>
      <w:r w:rsidR="00925B6F">
        <w:rPr>
          <w:rFonts w:ascii="Gill Sans MT" w:hAnsi="Gill Sans MT"/>
          <w:szCs w:val="24"/>
        </w:rPr>
        <w:t xml:space="preserve">  </w:t>
      </w:r>
    </w:p>
    <w:p w14:paraId="69A1C94E" w14:textId="77777777" w:rsidR="000F0251" w:rsidRPr="009B4766" w:rsidRDefault="009B4766" w:rsidP="006E16BD">
      <w:pPr>
        <w:jc w:val="both"/>
        <w:rPr>
          <w:rFonts w:ascii="Gill Sans MT" w:hAnsi="Gill Sans MT"/>
          <w:b/>
          <w:szCs w:val="24"/>
        </w:rPr>
      </w:pPr>
      <w:r>
        <w:rPr>
          <w:rFonts w:ascii="Gill Sans MT" w:hAnsi="Gill Sans MT"/>
          <w:b/>
          <w:bCs/>
          <w:szCs w:val="24"/>
        </w:rPr>
        <w:t>Section</w:t>
      </w:r>
      <w:r w:rsidR="0003223D" w:rsidRPr="009B4766">
        <w:rPr>
          <w:rFonts w:ascii="Gill Sans MT" w:hAnsi="Gill Sans MT"/>
          <w:b/>
          <w:bCs/>
          <w:szCs w:val="24"/>
        </w:rPr>
        <w:t xml:space="preserve"> </w:t>
      </w:r>
      <w:r>
        <w:rPr>
          <w:rFonts w:ascii="Gill Sans MT" w:hAnsi="Gill Sans MT"/>
          <w:b/>
          <w:bCs/>
          <w:szCs w:val="24"/>
        </w:rPr>
        <w:t>191</w:t>
      </w:r>
    </w:p>
    <w:p w14:paraId="7EB4B7EF" w14:textId="77777777" w:rsidR="0003223D" w:rsidRPr="009B4766" w:rsidRDefault="000F0251" w:rsidP="0074567A">
      <w:pPr>
        <w:spacing w:after="0"/>
        <w:ind w:left="426" w:hanging="426"/>
        <w:jc w:val="both"/>
        <w:rPr>
          <w:rFonts w:ascii="Gill Sans MT" w:hAnsi="Gill Sans MT"/>
          <w:i/>
        </w:rPr>
      </w:pPr>
      <w:r>
        <w:rPr>
          <w:rFonts w:ascii="Gill Sans MT" w:hAnsi="Gill Sans MT"/>
          <w:i/>
        </w:rPr>
        <w:t xml:space="preserve">(1) </w:t>
      </w:r>
      <w:r w:rsidR="0003223D" w:rsidRPr="0003223D">
        <w:rPr>
          <w:rFonts w:ascii="Gill Sans MT" w:hAnsi="Gill Sans MT"/>
          <w:i/>
        </w:rPr>
        <w:t>Subject</w:t>
      </w:r>
      <w:r>
        <w:rPr>
          <w:rFonts w:ascii="Gill Sans MT" w:hAnsi="Gill Sans MT"/>
          <w:i/>
        </w:rPr>
        <w:t xml:space="preserve"> to sections 192, 193 and 194 a person</w:t>
      </w:r>
      <w:r w:rsidR="0003223D" w:rsidRPr="0003223D">
        <w:rPr>
          <w:rFonts w:ascii="Gill Sans MT" w:hAnsi="Gill Sans MT"/>
          <w:i/>
        </w:rPr>
        <w:t xml:space="preserve"> must not, between the issue of the writ for an election and the close of poll at that election –</w:t>
      </w:r>
      <w:bookmarkStart w:id="1" w:name="GS191@Gs1@Hpa@EN"/>
      <w:bookmarkEnd w:id="1"/>
    </w:p>
    <w:p w14:paraId="76013CAA" w14:textId="77777777" w:rsidR="0003223D" w:rsidRPr="0003223D" w:rsidRDefault="0003223D" w:rsidP="000F0251">
      <w:pPr>
        <w:spacing w:after="0"/>
        <w:ind w:left="567"/>
        <w:jc w:val="both"/>
        <w:rPr>
          <w:rFonts w:ascii="Gill Sans MT" w:hAnsi="Gill Sans MT"/>
          <w:i/>
        </w:rPr>
      </w:pPr>
      <w:r w:rsidRPr="0003223D">
        <w:rPr>
          <w:rFonts w:ascii="Gill Sans MT" w:hAnsi="Gill Sans MT"/>
          <w:i/>
        </w:rPr>
        <w:t>(a) print, publish, keep on display or distribute, or permit or authorise another person to print, publish, keep on display or distribute, any printed electoral matter without the name and address of the responsible person being printed, in legible characters, at the end of the electoral matter; or</w:t>
      </w:r>
    </w:p>
    <w:p w14:paraId="288134E1" w14:textId="77777777" w:rsidR="0003223D" w:rsidRPr="0003223D" w:rsidRDefault="0003223D" w:rsidP="000F0251">
      <w:pPr>
        <w:spacing w:after="0"/>
        <w:ind w:left="567"/>
        <w:jc w:val="both"/>
        <w:rPr>
          <w:rFonts w:ascii="Gill Sans MT" w:hAnsi="Gill Sans MT"/>
          <w:i/>
        </w:rPr>
      </w:pPr>
      <w:bookmarkStart w:id="2" w:name="GS191@Gs1@Hpb@EN"/>
      <w:bookmarkEnd w:id="2"/>
      <w:r w:rsidRPr="0003223D">
        <w:rPr>
          <w:rFonts w:ascii="Gill Sans MT" w:hAnsi="Gill Sans MT"/>
          <w:i/>
        </w:rPr>
        <w:t xml:space="preserve">(b) </w:t>
      </w:r>
      <w:proofErr w:type="gramStart"/>
      <w:r w:rsidRPr="0003223D">
        <w:rPr>
          <w:rFonts w:ascii="Gill Sans MT" w:hAnsi="Gill Sans MT"/>
          <w:i/>
        </w:rPr>
        <w:t>publish</w:t>
      </w:r>
      <w:proofErr w:type="gramEnd"/>
      <w:r w:rsidRPr="0003223D">
        <w:rPr>
          <w:rFonts w:ascii="Gill Sans MT" w:hAnsi="Gill Sans MT"/>
          <w:i/>
        </w:rPr>
        <w:t>, or permit or authorise another person to publish, any electoral matter on the internet without the name and address of the responsible person appearing at the end of the electoral matter.</w:t>
      </w:r>
    </w:p>
    <w:p w14:paraId="7FD65D99" w14:textId="77777777" w:rsidR="0003223D" w:rsidRPr="0003223D" w:rsidRDefault="0003223D" w:rsidP="0074567A">
      <w:pPr>
        <w:spacing w:after="0"/>
        <w:ind w:left="426" w:hanging="426"/>
        <w:jc w:val="both"/>
        <w:rPr>
          <w:rFonts w:ascii="Gill Sans MT" w:hAnsi="Gill Sans MT"/>
          <w:i/>
        </w:rPr>
      </w:pPr>
      <w:bookmarkStart w:id="3" w:name="GS191@Gs2@EN"/>
      <w:bookmarkEnd w:id="3"/>
      <w:r w:rsidRPr="0003223D">
        <w:rPr>
          <w:rFonts w:ascii="Gill Sans MT" w:hAnsi="Gill Sans MT"/>
          <w:i/>
        </w:rPr>
        <w:t>(2)  Printed electoral matter is published or kept on display by a person if the publication or display is published or kept on display with that person's consent.</w:t>
      </w:r>
    </w:p>
    <w:p w14:paraId="5DD1A9D2" w14:textId="77777777" w:rsidR="0003223D" w:rsidRPr="009B4766" w:rsidRDefault="0003223D" w:rsidP="009B4766">
      <w:pPr>
        <w:spacing w:before="320" w:after="320"/>
        <w:jc w:val="both"/>
        <w:rPr>
          <w:rFonts w:ascii="Gill Sans MT" w:hAnsi="Gill Sans MT"/>
          <w:szCs w:val="24"/>
        </w:rPr>
      </w:pPr>
      <w:r w:rsidRPr="0003223D">
        <w:rPr>
          <w:rFonts w:ascii="Gill Sans MT" w:hAnsi="Gill Sans MT"/>
          <w:szCs w:val="24"/>
        </w:rPr>
        <w:t xml:space="preserve">This provision ensures that all written material that deals with “electoral matters” is appropriately authorised. </w:t>
      </w:r>
      <w:r w:rsidR="003303A4">
        <w:rPr>
          <w:rFonts w:ascii="Gill Sans MT" w:hAnsi="Gill Sans MT"/>
          <w:szCs w:val="24"/>
        </w:rPr>
        <w:t xml:space="preserve"> </w:t>
      </w:r>
      <w:r w:rsidRPr="0003223D">
        <w:rPr>
          <w:rFonts w:ascii="Gill Sans MT" w:hAnsi="Gill Sans MT"/>
          <w:szCs w:val="24"/>
        </w:rPr>
        <w:t>T</w:t>
      </w:r>
      <w:r w:rsidR="00925B6F">
        <w:rPr>
          <w:rFonts w:ascii="Gill Sans MT" w:hAnsi="Gill Sans MT"/>
          <w:szCs w:val="24"/>
        </w:rPr>
        <w:t xml:space="preserve">his ensures </w:t>
      </w:r>
      <w:r w:rsidRPr="0003223D">
        <w:rPr>
          <w:rFonts w:ascii="Gill Sans MT" w:hAnsi="Gill Sans MT"/>
          <w:szCs w:val="24"/>
        </w:rPr>
        <w:t>there is a nominated person that remains accountable for this material.</w:t>
      </w:r>
      <w:r w:rsidR="009B4766">
        <w:rPr>
          <w:rFonts w:ascii="Gill Sans MT" w:hAnsi="Gill Sans MT"/>
          <w:szCs w:val="24"/>
        </w:rPr>
        <w:t xml:space="preserve">  </w:t>
      </w:r>
    </w:p>
    <w:p w14:paraId="4F6CC537" w14:textId="77777777" w:rsidR="009B4766" w:rsidRPr="009B4766" w:rsidRDefault="009B4766" w:rsidP="006E16BD">
      <w:pPr>
        <w:jc w:val="both"/>
        <w:rPr>
          <w:rFonts w:ascii="Gill Sans MT" w:hAnsi="Gill Sans MT"/>
          <w:b/>
          <w:szCs w:val="24"/>
        </w:rPr>
      </w:pPr>
      <w:r>
        <w:rPr>
          <w:rFonts w:ascii="Gill Sans MT" w:hAnsi="Gill Sans MT"/>
          <w:b/>
          <w:bCs/>
          <w:szCs w:val="24"/>
        </w:rPr>
        <w:t>Section</w:t>
      </w:r>
      <w:r w:rsidRPr="009B4766">
        <w:rPr>
          <w:rFonts w:ascii="Gill Sans MT" w:hAnsi="Gill Sans MT"/>
          <w:b/>
          <w:bCs/>
          <w:szCs w:val="24"/>
        </w:rPr>
        <w:t xml:space="preserve"> </w:t>
      </w:r>
      <w:r>
        <w:rPr>
          <w:rFonts w:ascii="Gill Sans MT" w:hAnsi="Gill Sans MT"/>
          <w:b/>
          <w:bCs/>
          <w:szCs w:val="24"/>
        </w:rPr>
        <w:t>196</w:t>
      </w:r>
    </w:p>
    <w:p w14:paraId="1AD6A659" w14:textId="77777777" w:rsidR="0003223D" w:rsidRPr="0003223D" w:rsidRDefault="0003223D" w:rsidP="0074567A">
      <w:pPr>
        <w:spacing w:after="0"/>
        <w:ind w:left="426" w:hanging="426"/>
        <w:jc w:val="both"/>
        <w:rPr>
          <w:rFonts w:ascii="Gill Sans MT" w:hAnsi="Gill Sans MT"/>
          <w:i/>
        </w:rPr>
      </w:pPr>
      <w:r w:rsidRPr="0003223D">
        <w:rPr>
          <w:rFonts w:ascii="Gill Sans MT" w:hAnsi="Gill Sans MT"/>
          <w:i/>
        </w:rPr>
        <w:t>(1)  A person must not between the issue of the writ for an election and the close of poll at that election print, publish or distribute any advertisement, "how to vote" card, handbill, pamphlet, poster or notice which contains the name, photograph or a likeness of a candidate or intending candidate at that election without the written consent of the candidate.</w:t>
      </w:r>
    </w:p>
    <w:p w14:paraId="37B8763B" w14:textId="77777777" w:rsidR="0003223D" w:rsidRPr="0003223D" w:rsidRDefault="0003223D" w:rsidP="009B4766">
      <w:pPr>
        <w:spacing w:before="320" w:after="320"/>
        <w:jc w:val="both"/>
        <w:rPr>
          <w:rFonts w:ascii="Gill Sans MT" w:hAnsi="Gill Sans MT"/>
          <w:szCs w:val="24"/>
        </w:rPr>
      </w:pPr>
      <w:r w:rsidRPr="0003223D">
        <w:rPr>
          <w:rFonts w:ascii="Gill Sans MT" w:hAnsi="Gill Sans MT"/>
          <w:szCs w:val="24"/>
        </w:rPr>
        <w:t xml:space="preserve">This provision prevents written advertising material that shows a candidate without that person’s permission. This provision was aimed </w:t>
      </w:r>
      <w:r w:rsidR="00925B6F">
        <w:rPr>
          <w:rFonts w:ascii="Gill Sans MT" w:hAnsi="Gill Sans MT"/>
          <w:szCs w:val="24"/>
        </w:rPr>
        <w:t>at</w:t>
      </w:r>
      <w:r w:rsidRPr="0003223D">
        <w:rPr>
          <w:rFonts w:ascii="Gill Sans MT" w:hAnsi="Gill Sans MT"/>
          <w:szCs w:val="24"/>
        </w:rPr>
        <w:t xml:space="preserve"> prevent</w:t>
      </w:r>
      <w:r w:rsidR="00925B6F">
        <w:rPr>
          <w:rFonts w:ascii="Gill Sans MT" w:hAnsi="Gill Sans MT"/>
          <w:szCs w:val="24"/>
        </w:rPr>
        <w:t>ing</w:t>
      </w:r>
      <w:r w:rsidRPr="0003223D">
        <w:rPr>
          <w:rFonts w:ascii="Gill Sans MT" w:hAnsi="Gill Sans MT"/>
          <w:szCs w:val="24"/>
        </w:rPr>
        <w:t xml:space="preserve"> defamatory and prejudicial material regarding a candidate.</w:t>
      </w:r>
      <w:r w:rsidR="009B4766">
        <w:rPr>
          <w:rFonts w:ascii="Gill Sans MT" w:hAnsi="Gill Sans MT"/>
          <w:szCs w:val="24"/>
        </w:rPr>
        <w:t xml:space="preserve"> </w:t>
      </w:r>
      <w:r w:rsidR="00D8255C">
        <w:rPr>
          <w:rFonts w:ascii="Gill Sans MT" w:hAnsi="Gill Sans MT"/>
          <w:szCs w:val="24"/>
        </w:rPr>
        <w:t xml:space="preserve"> </w:t>
      </w:r>
    </w:p>
    <w:p w14:paraId="3A9C7D5E" w14:textId="77777777" w:rsidR="009B4766" w:rsidRPr="009B4766" w:rsidRDefault="009B4766" w:rsidP="009B4766">
      <w:pPr>
        <w:jc w:val="both"/>
        <w:rPr>
          <w:rFonts w:ascii="Gill Sans MT" w:hAnsi="Gill Sans MT"/>
          <w:b/>
          <w:szCs w:val="24"/>
        </w:rPr>
      </w:pPr>
      <w:r>
        <w:rPr>
          <w:rFonts w:ascii="Gill Sans MT" w:hAnsi="Gill Sans MT"/>
          <w:b/>
          <w:bCs/>
          <w:szCs w:val="24"/>
        </w:rPr>
        <w:t>Section</w:t>
      </w:r>
      <w:r w:rsidRPr="009B4766">
        <w:rPr>
          <w:rFonts w:ascii="Gill Sans MT" w:hAnsi="Gill Sans MT"/>
          <w:b/>
          <w:bCs/>
          <w:szCs w:val="24"/>
        </w:rPr>
        <w:t xml:space="preserve"> </w:t>
      </w:r>
      <w:r>
        <w:rPr>
          <w:rFonts w:ascii="Gill Sans MT" w:hAnsi="Gill Sans MT"/>
          <w:b/>
          <w:bCs/>
          <w:szCs w:val="24"/>
        </w:rPr>
        <w:t>198</w:t>
      </w:r>
    </w:p>
    <w:p w14:paraId="20824103" w14:textId="77777777" w:rsidR="0003223D" w:rsidRPr="0003223D" w:rsidRDefault="0003223D" w:rsidP="00F65A56">
      <w:pPr>
        <w:spacing w:before="120" w:after="0"/>
        <w:ind w:left="426" w:hanging="426"/>
        <w:jc w:val="both"/>
        <w:rPr>
          <w:rFonts w:ascii="Gill Sans MT" w:hAnsi="Gill Sans MT"/>
          <w:i/>
        </w:rPr>
      </w:pPr>
      <w:r w:rsidRPr="0003223D">
        <w:rPr>
          <w:rFonts w:ascii="Gill Sans MT" w:hAnsi="Gill Sans MT"/>
          <w:i/>
        </w:rPr>
        <w:t>(1)  A person must not, on the polling day fixed for an election, or on a day to which the polling for an election has been adjourned –</w:t>
      </w:r>
    </w:p>
    <w:p w14:paraId="4004DCF7" w14:textId="77777777" w:rsidR="0003223D" w:rsidRPr="0003223D" w:rsidRDefault="0003223D" w:rsidP="00F65A56">
      <w:pPr>
        <w:spacing w:before="120" w:after="0"/>
        <w:ind w:left="567"/>
        <w:jc w:val="both"/>
        <w:rPr>
          <w:rFonts w:ascii="Gill Sans MT" w:hAnsi="Gill Sans MT"/>
          <w:i/>
        </w:rPr>
      </w:pPr>
      <w:r w:rsidRPr="0003223D">
        <w:rPr>
          <w:rFonts w:ascii="Gill Sans MT" w:hAnsi="Gill Sans MT"/>
          <w:i/>
        </w:rPr>
        <w:t xml:space="preserve">(a) </w:t>
      </w:r>
      <w:proofErr w:type="gramStart"/>
      <w:r w:rsidRPr="0003223D">
        <w:rPr>
          <w:rFonts w:ascii="Gill Sans MT" w:hAnsi="Gill Sans MT"/>
          <w:i/>
        </w:rPr>
        <w:t>distribute</w:t>
      </w:r>
      <w:proofErr w:type="gramEnd"/>
      <w:r w:rsidRPr="0003223D">
        <w:rPr>
          <w:rFonts w:ascii="Gill Sans MT" w:hAnsi="Gill Sans MT"/>
          <w:i/>
        </w:rPr>
        <w:t xml:space="preserve"> any advertisement, "how to vote" card, handbill, pamphlet, poster or notice containing any electoral matter; or</w:t>
      </w:r>
    </w:p>
    <w:p w14:paraId="159DD782" w14:textId="77777777" w:rsidR="0003223D" w:rsidRPr="0003223D" w:rsidRDefault="0003223D" w:rsidP="00F65A56">
      <w:pPr>
        <w:spacing w:before="120" w:after="0"/>
        <w:ind w:left="567"/>
        <w:jc w:val="both"/>
        <w:rPr>
          <w:rFonts w:ascii="Gill Sans MT" w:hAnsi="Gill Sans MT"/>
          <w:i/>
        </w:rPr>
      </w:pPr>
      <w:r w:rsidRPr="0003223D">
        <w:rPr>
          <w:rFonts w:ascii="Gill Sans MT" w:hAnsi="Gill Sans MT"/>
          <w:i/>
        </w:rPr>
        <w:lastRenderedPageBreak/>
        <w:t xml:space="preserve">(b) </w:t>
      </w:r>
      <w:proofErr w:type="gramStart"/>
      <w:r w:rsidRPr="0003223D">
        <w:rPr>
          <w:rFonts w:ascii="Gill Sans MT" w:hAnsi="Gill Sans MT"/>
          <w:i/>
        </w:rPr>
        <w:t>publish</w:t>
      </w:r>
      <w:proofErr w:type="gramEnd"/>
      <w:r w:rsidRPr="0003223D">
        <w:rPr>
          <w:rFonts w:ascii="Gill Sans MT" w:hAnsi="Gill Sans MT"/>
          <w:i/>
        </w:rPr>
        <w:t xml:space="preserve"> or cause to be published in a newspaper –</w:t>
      </w:r>
    </w:p>
    <w:p w14:paraId="63615FA8" w14:textId="77777777" w:rsidR="0003223D" w:rsidRPr="0003223D" w:rsidRDefault="0003223D" w:rsidP="00F65A56">
      <w:pPr>
        <w:spacing w:before="120" w:after="0"/>
        <w:ind w:left="567"/>
        <w:jc w:val="both"/>
        <w:rPr>
          <w:rFonts w:ascii="Gill Sans MT" w:hAnsi="Gill Sans MT"/>
          <w:i/>
        </w:rPr>
      </w:pPr>
      <w:r w:rsidRPr="0003223D">
        <w:rPr>
          <w:rFonts w:ascii="Gill Sans MT" w:hAnsi="Gill Sans MT"/>
          <w:i/>
        </w:rPr>
        <w:t>(</w:t>
      </w:r>
      <w:proofErr w:type="spellStart"/>
      <w:r w:rsidRPr="0003223D">
        <w:rPr>
          <w:rFonts w:ascii="Gill Sans MT" w:hAnsi="Gill Sans MT"/>
          <w:i/>
        </w:rPr>
        <w:t>i</w:t>
      </w:r>
      <w:proofErr w:type="spellEnd"/>
      <w:r w:rsidRPr="0003223D">
        <w:rPr>
          <w:rFonts w:ascii="Gill Sans MT" w:hAnsi="Gill Sans MT"/>
          <w:i/>
        </w:rPr>
        <w:t xml:space="preserve">) </w:t>
      </w:r>
      <w:proofErr w:type="gramStart"/>
      <w:r w:rsidRPr="0003223D">
        <w:rPr>
          <w:rFonts w:ascii="Gill Sans MT" w:hAnsi="Gill Sans MT"/>
          <w:i/>
        </w:rPr>
        <w:t>an</w:t>
      </w:r>
      <w:proofErr w:type="gramEnd"/>
      <w:r w:rsidRPr="0003223D">
        <w:rPr>
          <w:rFonts w:ascii="Gill Sans MT" w:hAnsi="Gill Sans MT"/>
          <w:i/>
        </w:rPr>
        <w:t xml:space="preserve"> advertisement for or on behalf of, or relating in any way to, a candidate or party; or</w:t>
      </w:r>
    </w:p>
    <w:p w14:paraId="299F8A2C" w14:textId="77777777" w:rsidR="0003223D" w:rsidRPr="0003223D" w:rsidRDefault="0003223D" w:rsidP="00F65A56">
      <w:pPr>
        <w:spacing w:before="120" w:after="0"/>
        <w:ind w:left="567"/>
        <w:jc w:val="both"/>
        <w:rPr>
          <w:rFonts w:ascii="Gill Sans MT" w:hAnsi="Gill Sans MT"/>
        </w:rPr>
      </w:pPr>
      <w:r w:rsidRPr="0003223D">
        <w:rPr>
          <w:rFonts w:ascii="Gill Sans MT" w:hAnsi="Gill Sans MT"/>
          <w:i/>
        </w:rPr>
        <w:t xml:space="preserve">(ii) </w:t>
      </w:r>
      <w:proofErr w:type="gramStart"/>
      <w:r w:rsidRPr="0003223D">
        <w:rPr>
          <w:rFonts w:ascii="Gill Sans MT" w:hAnsi="Gill Sans MT"/>
          <w:i/>
        </w:rPr>
        <w:t>a</w:t>
      </w:r>
      <w:proofErr w:type="gramEnd"/>
      <w:r w:rsidRPr="0003223D">
        <w:rPr>
          <w:rFonts w:ascii="Gill Sans MT" w:hAnsi="Gill Sans MT"/>
          <w:i/>
        </w:rPr>
        <w:t xml:space="preserve"> matter or comment relating to a candidate or a question arising from, or an issue of, the election campaign.</w:t>
      </w:r>
    </w:p>
    <w:p w14:paraId="6884812A" w14:textId="77777777" w:rsidR="0074567A" w:rsidRDefault="0003223D" w:rsidP="0003223D">
      <w:pPr>
        <w:jc w:val="both"/>
        <w:rPr>
          <w:rFonts w:ascii="Gill Sans MT" w:hAnsi="Gill Sans MT"/>
          <w:szCs w:val="24"/>
        </w:rPr>
      </w:pPr>
      <w:r w:rsidRPr="0003223D">
        <w:rPr>
          <w:rFonts w:ascii="Gill Sans MT" w:hAnsi="Gill Sans MT"/>
          <w:szCs w:val="24"/>
        </w:rPr>
        <w:t xml:space="preserve">This provision prevents campaigning on </w:t>
      </w:r>
      <w:r w:rsidR="00A906DD" w:rsidRPr="0003223D">
        <w:rPr>
          <w:rFonts w:ascii="Gill Sans MT" w:hAnsi="Gill Sans MT"/>
          <w:szCs w:val="24"/>
        </w:rPr>
        <w:t>Election Day</w:t>
      </w:r>
      <w:r w:rsidRPr="0003223D">
        <w:rPr>
          <w:rFonts w:ascii="Gill Sans MT" w:hAnsi="Gill Sans MT"/>
          <w:szCs w:val="24"/>
        </w:rPr>
        <w:t xml:space="preserve">. There is a blackout on all election advertisements in online and broadcast media through Schedule 2 of the </w:t>
      </w:r>
      <w:r w:rsidRPr="0003223D">
        <w:rPr>
          <w:rFonts w:ascii="Gill Sans MT" w:hAnsi="Gill Sans MT"/>
          <w:i/>
          <w:szCs w:val="24"/>
        </w:rPr>
        <w:t>Broadcasting Services Act 1992 (</w:t>
      </w:r>
      <w:proofErr w:type="spellStart"/>
      <w:r w:rsidRPr="0003223D">
        <w:rPr>
          <w:rFonts w:ascii="Gill Sans MT" w:hAnsi="Gill Sans MT"/>
          <w:i/>
          <w:szCs w:val="24"/>
        </w:rPr>
        <w:t>Cth</w:t>
      </w:r>
      <w:proofErr w:type="spellEnd"/>
      <w:r w:rsidRPr="0003223D">
        <w:rPr>
          <w:rFonts w:ascii="Gill Sans MT" w:hAnsi="Gill Sans MT"/>
          <w:i/>
          <w:szCs w:val="24"/>
        </w:rPr>
        <w:t>)</w:t>
      </w:r>
      <w:r w:rsidR="0074567A">
        <w:rPr>
          <w:rFonts w:ascii="Gill Sans MT" w:hAnsi="Gill Sans MT"/>
          <w:szCs w:val="24"/>
        </w:rPr>
        <w:t xml:space="preserve">.  </w:t>
      </w:r>
      <w:r w:rsidR="004F52F6">
        <w:rPr>
          <w:rFonts w:ascii="Gill Sans MT" w:hAnsi="Gill Sans MT"/>
          <w:szCs w:val="24"/>
        </w:rPr>
        <w:t>S</w:t>
      </w:r>
      <w:r w:rsidR="00A906DD">
        <w:rPr>
          <w:rFonts w:ascii="Gill Sans MT" w:hAnsi="Gill Sans MT"/>
          <w:szCs w:val="24"/>
        </w:rPr>
        <w:t xml:space="preserve">ection </w:t>
      </w:r>
      <w:r w:rsidRPr="0003223D">
        <w:rPr>
          <w:rFonts w:ascii="Gill Sans MT" w:hAnsi="Gill Sans MT"/>
          <w:szCs w:val="24"/>
        </w:rPr>
        <w:t xml:space="preserve">198 </w:t>
      </w:r>
      <w:r w:rsidR="00E313F4">
        <w:rPr>
          <w:rFonts w:ascii="Gill Sans MT" w:hAnsi="Gill Sans MT"/>
          <w:szCs w:val="24"/>
        </w:rPr>
        <w:t xml:space="preserve">of the </w:t>
      </w:r>
      <w:r w:rsidR="00E313F4" w:rsidRPr="004D0C90">
        <w:rPr>
          <w:rFonts w:ascii="Gill Sans MT" w:hAnsi="Gill Sans MT"/>
          <w:szCs w:val="24"/>
        </w:rPr>
        <w:t xml:space="preserve">Tasmanian </w:t>
      </w:r>
      <w:r w:rsidR="00E313F4" w:rsidRPr="004F52F6">
        <w:rPr>
          <w:rFonts w:ascii="Gill Sans MT" w:hAnsi="Gill Sans MT"/>
          <w:i/>
          <w:szCs w:val="24"/>
        </w:rPr>
        <w:t xml:space="preserve">Electoral Act </w:t>
      </w:r>
      <w:r w:rsidR="004F52F6" w:rsidRPr="004F52F6">
        <w:rPr>
          <w:rFonts w:ascii="Gill Sans MT" w:hAnsi="Gill Sans MT"/>
          <w:i/>
          <w:szCs w:val="24"/>
        </w:rPr>
        <w:t>2004</w:t>
      </w:r>
      <w:r w:rsidR="004F52F6">
        <w:rPr>
          <w:rFonts w:ascii="Gill Sans MT" w:hAnsi="Gill Sans MT"/>
          <w:szCs w:val="24"/>
        </w:rPr>
        <w:t xml:space="preserve"> </w:t>
      </w:r>
      <w:r w:rsidRPr="0003223D">
        <w:rPr>
          <w:rFonts w:ascii="Gill Sans MT" w:hAnsi="Gill Sans MT"/>
          <w:szCs w:val="24"/>
        </w:rPr>
        <w:t xml:space="preserve">has the </w:t>
      </w:r>
      <w:r w:rsidR="004F52F6">
        <w:rPr>
          <w:rFonts w:ascii="Gill Sans MT" w:hAnsi="Gill Sans MT"/>
          <w:szCs w:val="24"/>
        </w:rPr>
        <w:t xml:space="preserve">additional </w:t>
      </w:r>
      <w:r w:rsidRPr="0003223D">
        <w:rPr>
          <w:rFonts w:ascii="Gill Sans MT" w:hAnsi="Gill Sans MT"/>
          <w:szCs w:val="24"/>
        </w:rPr>
        <w:t xml:space="preserve">effect of preventing commentary pieces in newspapers on </w:t>
      </w:r>
      <w:r w:rsidR="0074567A" w:rsidRPr="0003223D">
        <w:rPr>
          <w:rFonts w:ascii="Gill Sans MT" w:hAnsi="Gill Sans MT"/>
          <w:szCs w:val="24"/>
        </w:rPr>
        <w:t>Election Day</w:t>
      </w:r>
      <w:r w:rsidRPr="0003223D">
        <w:rPr>
          <w:rFonts w:ascii="Gill Sans MT" w:hAnsi="Gill Sans MT"/>
          <w:szCs w:val="24"/>
        </w:rPr>
        <w:t>.</w:t>
      </w:r>
    </w:p>
    <w:p w14:paraId="3E5C1787" w14:textId="77777777" w:rsidR="00082CEE" w:rsidRDefault="00082CEE" w:rsidP="000B4171">
      <w:pPr>
        <w:pStyle w:val="Heading3"/>
        <w:rPr>
          <w:caps/>
        </w:rPr>
      </w:pPr>
      <w:r>
        <w:t>2. Whether state based disclosure rules should be introduced, and, if so, what they should include</w:t>
      </w:r>
    </w:p>
    <w:p w14:paraId="6DFF65C4" w14:textId="77777777" w:rsidR="00082CEE" w:rsidRPr="000F0251" w:rsidRDefault="00082CEE" w:rsidP="00784396">
      <w:pPr>
        <w:jc w:val="both"/>
        <w:rPr>
          <w:rFonts w:ascii="Gill Sans MT" w:hAnsi="Gill Sans MT"/>
          <w:szCs w:val="24"/>
        </w:rPr>
      </w:pPr>
      <w:r w:rsidRPr="000F0251">
        <w:rPr>
          <w:rFonts w:ascii="Gill Sans MT" w:hAnsi="Gill Sans MT"/>
          <w:szCs w:val="24"/>
        </w:rPr>
        <w:t xml:space="preserve">Currently </w:t>
      </w:r>
      <w:r w:rsidR="004A4575">
        <w:rPr>
          <w:rFonts w:ascii="Gill Sans MT" w:hAnsi="Gill Sans MT"/>
          <w:szCs w:val="24"/>
        </w:rPr>
        <w:t xml:space="preserve">disclosure of donations and gifts in </w:t>
      </w:r>
      <w:r w:rsidRPr="000F0251">
        <w:rPr>
          <w:rFonts w:ascii="Gill Sans MT" w:hAnsi="Gill Sans MT"/>
          <w:szCs w:val="24"/>
        </w:rPr>
        <w:t xml:space="preserve">Tasmania is governed by the Commonwealth </w:t>
      </w:r>
      <w:r w:rsidRPr="000F0251">
        <w:rPr>
          <w:rFonts w:ascii="Gill Sans MT" w:hAnsi="Gill Sans MT"/>
          <w:i/>
          <w:szCs w:val="24"/>
        </w:rPr>
        <w:t>Electoral Act 1918</w:t>
      </w:r>
      <w:r w:rsidRPr="000F0251">
        <w:rPr>
          <w:rFonts w:ascii="Gill Sans MT" w:hAnsi="Gill Sans MT"/>
          <w:szCs w:val="24"/>
        </w:rPr>
        <w:t xml:space="preserve">. </w:t>
      </w:r>
      <w:r w:rsidR="004A4575">
        <w:rPr>
          <w:rFonts w:ascii="Gill Sans MT" w:hAnsi="Gill Sans MT"/>
          <w:szCs w:val="24"/>
        </w:rPr>
        <w:t xml:space="preserve"> </w:t>
      </w:r>
      <w:r w:rsidR="00784396" w:rsidRPr="006D54BF">
        <w:rPr>
          <w:rFonts w:ascii="Gill Sans MT" w:hAnsi="Gill Sans MT"/>
        </w:rPr>
        <w:t>Tasmania is the only</w:t>
      </w:r>
      <w:r w:rsidR="00784396">
        <w:rPr>
          <w:rFonts w:ascii="Gill Sans MT" w:hAnsi="Gill Sans MT"/>
        </w:rPr>
        <w:t xml:space="preserve"> Australian</w:t>
      </w:r>
      <w:r w:rsidR="00784396" w:rsidRPr="006D54BF">
        <w:rPr>
          <w:rFonts w:ascii="Gill Sans MT" w:hAnsi="Gill Sans MT"/>
        </w:rPr>
        <w:t xml:space="preserve"> state </w:t>
      </w:r>
      <w:r w:rsidR="00784396">
        <w:rPr>
          <w:rFonts w:ascii="Gill Sans MT" w:hAnsi="Gill Sans MT"/>
        </w:rPr>
        <w:t>that does not</w:t>
      </w:r>
      <w:r w:rsidR="00784396" w:rsidRPr="006D54BF">
        <w:rPr>
          <w:rFonts w:ascii="Gill Sans MT" w:hAnsi="Gill Sans MT"/>
        </w:rPr>
        <w:t xml:space="preserve"> have </w:t>
      </w:r>
      <w:r w:rsidR="009D3820">
        <w:rPr>
          <w:rFonts w:ascii="Gill Sans MT" w:hAnsi="Gill Sans MT"/>
        </w:rPr>
        <w:t>state-</w:t>
      </w:r>
      <w:r w:rsidR="00784396">
        <w:rPr>
          <w:rFonts w:ascii="Gill Sans MT" w:hAnsi="Gill Sans MT"/>
        </w:rPr>
        <w:t xml:space="preserve">based legislation regulating disclosure of gifts and donations to political parties.  </w:t>
      </w:r>
    </w:p>
    <w:p w14:paraId="79EFF43B" w14:textId="77777777" w:rsidR="00082CEE" w:rsidRDefault="00082CEE" w:rsidP="000F0251">
      <w:pPr>
        <w:jc w:val="both"/>
        <w:rPr>
          <w:rFonts w:ascii="Gill Sans MT" w:hAnsi="Gill Sans MT"/>
          <w:szCs w:val="24"/>
        </w:rPr>
      </w:pPr>
      <w:r w:rsidRPr="000F0251">
        <w:rPr>
          <w:rFonts w:ascii="Gill Sans MT" w:hAnsi="Gill Sans MT"/>
          <w:szCs w:val="24"/>
        </w:rPr>
        <w:t>In Tasmania, donations of $13</w:t>
      </w:r>
      <w:r w:rsidR="007753B6">
        <w:rPr>
          <w:rFonts w:ascii="Gill Sans MT" w:hAnsi="Gill Sans MT"/>
          <w:szCs w:val="24"/>
        </w:rPr>
        <w:t>,</w:t>
      </w:r>
      <w:r w:rsidRPr="000F0251">
        <w:rPr>
          <w:rFonts w:ascii="Gill Sans MT" w:hAnsi="Gill Sans MT"/>
          <w:szCs w:val="24"/>
        </w:rPr>
        <w:t>500 or more must be declared by the receiving party through an annual reporting process</w:t>
      </w:r>
      <w:r w:rsidR="004F6D98">
        <w:rPr>
          <w:rFonts w:ascii="Gill Sans MT" w:hAnsi="Gill Sans MT"/>
          <w:szCs w:val="24"/>
        </w:rPr>
        <w:t xml:space="preserve"> under the Commonwealth Act</w:t>
      </w:r>
      <w:r w:rsidRPr="000F0251">
        <w:rPr>
          <w:rFonts w:ascii="Gill Sans MT" w:hAnsi="Gill Sans MT"/>
          <w:szCs w:val="24"/>
        </w:rPr>
        <w:t xml:space="preserve">. </w:t>
      </w:r>
      <w:r w:rsidR="004F6D98">
        <w:rPr>
          <w:rFonts w:ascii="Gill Sans MT" w:hAnsi="Gill Sans MT"/>
          <w:szCs w:val="24"/>
        </w:rPr>
        <w:t xml:space="preserve"> </w:t>
      </w:r>
      <w:r w:rsidRPr="000F0251">
        <w:rPr>
          <w:rFonts w:ascii="Gill Sans MT" w:hAnsi="Gill Sans MT"/>
          <w:szCs w:val="24"/>
        </w:rPr>
        <w:t xml:space="preserve">However this reporting may not be due for over a year and does not take into account multiple donations from one source. </w:t>
      </w:r>
    </w:p>
    <w:p w14:paraId="05796829" w14:textId="77777777" w:rsidR="000F0251" w:rsidRDefault="000F0251" w:rsidP="000B4171">
      <w:pPr>
        <w:pStyle w:val="Heading3"/>
        <w:rPr>
          <w:caps/>
        </w:rPr>
      </w:pPr>
      <w:r>
        <w:t>3. The level of regulation of third parties, including unions, during Election campaigns</w:t>
      </w:r>
    </w:p>
    <w:p w14:paraId="1D9D8F97" w14:textId="77777777" w:rsidR="00AD597F" w:rsidRPr="00DD4A67" w:rsidRDefault="000F0251" w:rsidP="00AD597F">
      <w:pPr>
        <w:jc w:val="both"/>
        <w:rPr>
          <w:rFonts w:ascii="Gill Sans MT" w:hAnsi="Gill Sans MT"/>
          <w:szCs w:val="24"/>
        </w:rPr>
        <w:sectPr w:rsidR="00AD597F" w:rsidRPr="00DD4A67" w:rsidSect="000611F6">
          <w:headerReference w:type="even" r:id="rId10"/>
          <w:headerReference w:type="default" r:id="rId11"/>
          <w:footerReference w:type="default" r:id="rId12"/>
          <w:headerReference w:type="first" r:id="rId13"/>
          <w:type w:val="continuous"/>
          <w:pgSz w:w="11900" w:h="16840"/>
          <w:pgMar w:top="1701" w:right="985" w:bottom="1135" w:left="1418" w:header="709" w:footer="484" w:gutter="0"/>
          <w:cols w:space="708"/>
        </w:sectPr>
      </w:pPr>
      <w:r w:rsidRPr="000F0251">
        <w:rPr>
          <w:rFonts w:ascii="Gill Sans MT" w:hAnsi="Gill Sans MT"/>
          <w:szCs w:val="24"/>
        </w:rPr>
        <w:t xml:space="preserve">There has been increasing discussion both in Tasmania and in other jurisdictions about the activity and regulation of third parties during election campaigns. </w:t>
      </w:r>
      <w:r w:rsidR="002E0143">
        <w:rPr>
          <w:rFonts w:ascii="Gill Sans MT" w:hAnsi="Gill Sans MT"/>
          <w:szCs w:val="24"/>
        </w:rPr>
        <w:t xml:space="preserve"> </w:t>
      </w:r>
      <w:r w:rsidR="00AD597F" w:rsidRPr="006D54BF">
        <w:rPr>
          <w:rFonts w:ascii="Gill Sans MT" w:hAnsi="Gill Sans MT"/>
        </w:rPr>
        <w:t>There is no regulation of the activity or expenditure of third parties, such as unions, representative bodies, lobby groups and corporate bodies, during election campaigns under Tasmanian law.  There are v</w:t>
      </w:r>
      <w:r w:rsidR="00AD597F">
        <w:rPr>
          <w:rFonts w:ascii="Gill Sans MT" w:hAnsi="Gill Sans MT"/>
        </w:rPr>
        <w:t>arying levels of regulation of third parties</w:t>
      </w:r>
      <w:r w:rsidR="00AD597F" w:rsidRPr="006D54BF">
        <w:rPr>
          <w:rFonts w:ascii="Gill Sans MT" w:hAnsi="Gill Sans MT"/>
        </w:rPr>
        <w:t xml:space="preserve"> in other States and Territories including disclosure and reporting requirements</w:t>
      </w:r>
      <w:r w:rsidR="00AD597F">
        <w:rPr>
          <w:rFonts w:ascii="Gill Sans MT" w:hAnsi="Gill Sans MT"/>
        </w:rPr>
        <w:t xml:space="preserve">.  </w:t>
      </w:r>
    </w:p>
    <w:p w14:paraId="75B7BEEC" w14:textId="77777777" w:rsidR="00E60171" w:rsidRDefault="00E60171" w:rsidP="004806B1">
      <w:pPr>
        <w:spacing w:before="120" w:after="180"/>
        <w:jc w:val="both"/>
        <w:rPr>
          <w:rFonts w:ascii="Gill Sans MT" w:hAnsi="Gill Sans MT"/>
          <w:bCs/>
          <w:szCs w:val="24"/>
        </w:rPr>
        <w:sectPr w:rsidR="00E60171" w:rsidSect="001B78DF">
          <w:type w:val="continuous"/>
          <w:pgSz w:w="11900" w:h="16840"/>
          <w:pgMar w:top="2410" w:right="985" w:bottom="1440" w:left="1418" w:header="709" w:footer="484" w:gutter="0"/>
          <w:cols w:space="708"/>
        </w:sectPr>
      </w:pPr>
    </w:p>
    <w:p w14:paraId="2524576D" w14:textId="77777777" w:rsidR="006E16BD" w:rsidRPr="006E16BD" w:rsidRDefault="006E16BD" w:rsidP="000B4171">
      <w:pPr>
        <w:pStyle w:val="Heading2"/>
        <w:rPr>
          <w:caps/>
        </w:rPr>
      </w:pPr>
      <w:r>
        <w:t>What happens next</w:t>
      </w:r>
      <w:r w:rsidRPr="006E16BD">
        <w:t>?</w:t>
      </w:r>
    </w:p>
    <w:p w14:paraId="7E3AB574" w14:textId="77777777" w:rsidR="00B810B8" w:rsidRDefault="00B810B8" w:rsidP="00B810B8">
      <w:pPr>
        <w:jc w:val="both"/>
        <w:rPr>
          <w:rFonts w:ascii="Gill Sans MT" w:hAnsi="Gill Sans MT"/>
          <w:szCs w:val="24"/>
        </w:rPr>
        <w:sectPr w:rsidR="00B810B8" w:rsidSect="007D29D6">
          <w:type w:val="continuous"/>
          <w:pgSz w:w="11900" w:h="16840"/>
          <w:pgMar w:top="2835" w:right="985" w:bottom="1440" w:left="1418" w:header="709" w:footer="484" w:gutter="0"/>
          <w:cols w:num="2" w:space="708"/>
        </w:sectPr>
      </w:pPr>
    </w:p>
    <w:p w14:paraId="2D502092" w14:textId="77777777" w:rsidR="006E16BD" w:rsidRDefault="00B810B8" w:rsidP="00B810B8">
      <w:pPr>
        <w:jc w:val="both"/>
        <w:rPr>
          <w:rFonts w:ascii="Gill Sans MT" w:hAnsi="Gill Sans MT"/>
          <w:szCs w:val="24"/>
        </w:rPr>
      </w:pPr>
      <w:r w:rsidRPr="00B810B8">
        <w:rPr>
          <w:rFonts w:ascii="Gill Sans MT" w:hAnsi="Gill Sans MT"/>
          <w:szCs w:val="24"/>
        </w:rPr>
        <w:t xml:space="preserve">The submissions received on the Terms of Reference </w:t>
      </w:r>
      <w:r>
        <w:rPr>
          <w:rFonts w:ascii="Gill Sans MT" w:hAnsi="Gill Sans MT"/>
          <w:szCs w:val="24"/>
        </w:rPr>
        <w:t xml:space="preserve">will inform preparation of the </w:t>
      </w:r>
      <w:r w:rsidR="00D536EE">
        <w:rPr>
          <w:rFonts w:ascii="Gill Sans MT" w:hAnsi="Gill Sans MT"/>
          <w:szCs w:val="24"/>
        </w:rPr>
        <w:t>Interim</w:t>
      </w:r>
      <w:r>
        <w:rPr>
          <w:rFonts w:ascii="Gill Sans MT" w:hAnsi="Gill Sans MT"/>
          <w:szCs w:val="24"/>
        </w:rPr>
        <w:t xml:space="preserve"> Report</w:t>
      </w:r>
      <w:r w:rsidR="00D536EE">
        <w:rPr>
          <w:rFonts w:ascii="Gill Sans MT" w:hAnsi="Gill Sans MT"/>
          <w:szCs w:val="24"/>
        </w:rPr>
        <w:t xml:space="preserve"> which will be provided to </w:t>
      </w:r>
      <w:r w:rsidR="00D536EE" w:rsidRPr="006E16BD">
        <w:rPr>
          <w:rFonts w:ascii="Gill Sans MT" w:hAnsi="Gill Sans MT"/>
          <w:szCs w:val="24"/>
        </w:rPr>
        <w:t xml:space="preserve">the Government by the end of </w:t>
      </w:r>
      <w:r w:rsidR="00D536EE">
        <w:rPr>
          <w:rFonts w:ascii="Gill Sans MT" w:hAnsi="Gill Sans MT"/>
          <w:szCs w:val="24"/>
        </w:rPr>
        <w:t xml:space="preserve">2018. </w:t>
      </w:r>
    </w:p>
    <w:p w14:paraId="75FE5D93" w14:textId="39C92953" w:rsidR="00D536EE" w:rsidRDefault="00D536EE" w:rsidP="00D536EE">
      <w:pPr>
        <w:jc w:val="both"/>
        <w:rPr>
          <w:rFonts w:ascii="Gill Sans MT" w:hAnsi="Gill Sans MT"/>
          <w:szCs w:val="24"/>
        </w:rPr>
      </w:pPr>
      <w:r>
        <w:rPr>
          <w:rFonts w:ascii="Gill Sans MT" w:hAnsi="Gill Sans MT"/>
          <w:szCs w:val="24"/>
        </w:rPr>
        <w:t>Following</w:t>
      </w:r>
      <w:r w:rsidRPr="006E16BD">
        <w:rPr>
          <w:rFonts w:ascii="Gill Sans MT" w:hAnsi="Gill Sans MT"/>
          <w:szCs w:val="24"/>
        </w:rPr>
        <w:t xml:space="preserve"> further targeted and public consultation </w:t>
      </w:r>
      <w:r w:rsidR="00BC0637">
        <w:rPr>
          <w:rFonts w:ascii="Gill Sans MT" w:hAnsi="Gill Sans MT"/>
          <w:szCs w:val="24"/>
        </w:rPr>
        <w:t>on the Interim R</w:t>
      </w:r>
      <w:r>
        <w:rPr>
          <w:rFonts w:ascii="Gill Sans MT" w:hAnsi="Gill Sans MT"/>
          <w:szCs w:val="24"/>
        </w:rPr>
        <w:t>eport</w:t>
      </w:r>
      <w:r w:rsidR="000611F6">
        <w:rPr>
          <w:rFonts w:ascii="Gill Sans MT" w:hAnsi="Gill Sans MT"/>
          <w:szCs w:val="24"/>
        </w:rPr>
        <w:t>,</w:t>
      </w:r>
      <w:r w:rsidRPr="006E16BD">
        <w:rPr>
          <w:rFonts w:ascii="Gill Sans MT" w:hAnsi="Gill Sans MT"/>
          <w:szCs w:val="24"/>
        </w:rPr>
        <w:t xml:space="preserve"> </w:t>
      </w:r>
      <w:r>
        <w:rPr>
          <w:rFonts w:ascii="Gill Sans MT" w:hAnsi="Gill Sans MT"/>
          <w:szCs w:val="24"/>
        </w:rPr>
        <w:t>a Final R</w:t>
      </w:r>
      <w:r w:rsidRPr="006E16BD">
        <w:rPr>
          <w:rFonts w:ascii="Gill Sans MT" w:hAnsi="Gill Sans MT"/>
          <w:szCs w:val="24"/>
        </w:rPr>
        <w:t xml:space="preserve">eport </w:t>
      </w:r>
      <w:r>
        <w:rPr>
          <w:rFonts w:ascii="Gill Sans MT" w:hAnsi="Gill Sans MT"/>
          <w:szCs w:val="24"/>
        </w:rPr>
        <w:t>is expected</w:t>
      </w:r>
      <w:r w:rsidRPr="006E16BD">
        <w:rPr>
          <w:rFonts w:ascii="Gill Sans MT" w:hAnsi="Gill Sans MT"/>
          <w:szCs w:val="24"/>
        </w:rPr>
        <w:t xml:space="preserve"> </w:t>
      </w:r>
      <w:r w:rsidR="007D6DF9">
        <w:rPr>
          <w:rFonts w:ascii="Gill Sans MT" w:hAnsi="Gill Sans MT"/>
          <w:szCs w:val="24"/>
        </w:rPr>
        <w:t>to be provided in</w:t>
      </w:r>
      <w:r w:rsidRPr="006E16BD">
        <w:rPr>
          <w:rFonts w:ascii="Gill Sans MT" w:hAnsi="Gill Sans MT"/>
          <w:szCs w:val="24"/>
        </w:rPr>
        <w:t xml:space="preserve"> mid-2019.  </w:t>
      </w:r>
    </w:p>
    <w:p w14:paraId="3A58B6C1" w14:textId="77777777" w:rsidR="00D536EE" w:rsidRDefault="00D536EE" w:rsidP="00B810B8">
      <w:pPr>
        <w:jc w:val="both"/>
        <w:rPr>
          <w:rFonts w:ascii="Gill Sans MT" w:hAnsi="Gill Sans MT"/>
          <w:szCs w:val="24"/>
        </w:rPr>
      </w:pPr>
      <w:r>
        <w:rPr>
          <w:rFonts w:ascii="Gill Sans MT" w:hAnsi="Gill Sans MT"/>
          <w:szCs w:val="24"/>
        </w:rPr>
        <w:t>T</w:t>
      </w:r>
      <w:r w:rsidRPr="006E16BD">
        <w:rPr>
          <w:rFonts w:ascii="Gill Sans MT" w:hAnsi="Gill Sans MT"/>
          <w:szCs w:val="24"/>
        </w:rPr>
        <w:t xml:space="preserve">he Government will </w:t>
      </w:r>
      <w:r>
        <w:rPr>
          <w:rFonts w:ascii="Gill Sans MT" w:hAnsi="Gill Sans MT"/>
          <w:szCs w:val="24"/>
        </w:rPr>
        <w:t xml:space="preserve">then </w:t>
      </w:r>
      <w:r w:rsidR="00115250">
        <w:rPr>
          <w:rFonts w:ascii="Gill Sans MT" w:hAnsi="Gill Sans MT"/>
          <w:szCs w:val="24"/>
        </w:rPr>
        <w:t>consult further on</w:t>
      </w:r>
      <w:r w:rsidRPr="006E16BD">
        <w:rPr>
          <w:rFonts w:ascii="Gill Sans MT" w:hAnsi="Gill Sans MT"/>
          <w:szCs w:val="24"/>
        </w:rPr>
        <w:t xml:space="preserve"> </w:t>
      </w:r>
      <w:r w:rsidR="007D6DF9">
        <w:rPr>
          <w:rFonts w:ascii="Gill Sans MT" w:hAnsi="Gill Sans MT"/>
          <w:szCs w:val="24"/>
        </w:rPr>
        <w:t xml:space="preserve">any </w:t>
      </w:r>
      <w:r w:rsidR="00115250">
        <w:rPr>
          <w:rFonts w:ascii="Gill Sans MT" w:hAnsi="Gill Sans MT"/>
          <w:szCs w:val="24"/>
        </w:rPr>
        <w:t xml:space="preserve">proposed </w:t>
      </w:r>
      <w:r w:rsidRPr="006E16BD">
        <w:rPr>
          <w:rFonts w:ascii="Gill Sans MT" w:hAnsi="Gill Sans MT"/>
          <w:szCs w:val="24"/>
        </w:rPr>
        <w:t>legislative reforms</w:t>
      </w:r>
      <w:r>
        <w:rPr>
          <w:rFonts w:ascii="Gill Sans MT" w:hAnsi="Gill Sans MT"/>
          <w:szCs w:val="24"/>
        </w:rPr>
        <w:t xml:space="preserve"> to address the recommendations arising from the review</w:t>
      </w:r>
      <w:r w:rsidRPr="006E16BD">
        <w:rPr>
          <w:rFonts w:ascii="Gill Sans MT" w:hAnsi="Gill Sans MT"/>
          <w:szCs w:val="24"/>
        </w:rPr>
        <w:t>.</w:t>
      </w:r>
      <w:r>
        <w:rPr>
          <w:rFonts w:ascii="Gill Sans MT" w:hAnsi="Gill Sans MT"/>
          <w:szCs w:val="24"/>
        </w:rPr>
        <w:t xml:space="preserve"> </w:t>
      </w:r>
    </w:p>
    <w:p w14:paraId="4558D109" w14:textId="6F2F6296" w:rsidR="00B810B8" w:rsidRDefault="00B810B8" w:rsidP="00B810B8">
      <w:pPr>
        <w:jc w:val="both"/>
        <w:rPr>
          <w:rFonts w:ascii="Gill Sans MT" w:hAnsi="Gill Sans MT"/>
          <w:szCs w:val="24"/>
        </w:rPr>
        <w:sectPr w:rsidR="00B810B8" w:rsidSect="00B810B8">
          <w:type w:val="continuous"/>
          <w:pgSz w:w="11900" w:h="16840"/>
          <w:pgMar w:top="2835" w:right="985" w:bottom="1440" w:left="1418" w:header="709" w:footer="484" w:gutter="0"/>
          <w:cols w:space="708"/>
        </w:sectPr>
      </w:pPr>
    </w:p>
    <w:p w14:paraId="7B58249A" w14:textId="77777777" w:rsidR="00B810B8" w:rsidRPr="00B810B8" w:rsidRDefault="00B810B8" w:rsidP="000611F6">
      <w:pPr>
        <w:jc w:val="both"/>
        <w:rPr>
          <w:rFonts w:ascii="Gill Sans MT" w:hAnsi="Gill Sans MT"/>
          <w:szCs w:val="24"/>
        </w:rPr>
      </w:pPr>
    </w:p>
    <w:sectPr w:rsidR="00B810B8" w:rsidRPr="00B810B8" w:rsidSect="007D29D6">
      <w:type w:val="continuous"/>
      <w:pgSz w:w="11900" w:h="16840"/>
      <w:pgMar w:top="2835" w:right="985" w:bottom="1440" w:left="1418" w:header="709" w:footer="48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28A0" w14:textId="77777777" w:rsidR="00B7541B" w:rsidRDefault="00B7541B">
      <w:pPr>
        <w:spacing w:before="0" w:after="0" w:line="240" w:lineRule="auto"/>
      </w:pPr>
      <w:r>
        <w:separator/>
      </w:r>
    </w:p>
  </w:endnote>
  <w:endnote w:type="continuationSeparator" w:id="0">
    <w:p w14:paraId="6E94C648" w14:textId="77777777" w:rsidR="00B7541B" w:rsidRDefault="00B754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ill Sans Light">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w:altName w:val="Times New Roman"/>
    <w:charset w:val="00"/>
    <w:family w:val="auto"/>
    <w:pitch w:val="variable"/>
    <w:sig w:usb0="00000000" w:usb1="00000000" w:usb2="00000000" w:usb3="00000000" w:csb0="000001F7"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A3C8" w14:textId="77777777" w:rsidR="007427BF" w:rsidRDefault="00381AC8" w:rsidP="007427BF">
    <w:pPr>
      <w:pStyle w:val="Footer"/>
      <w:ind w:left="-567"/>
    </w:pPr>
    <w:r>
      <w:rPr>
        <w:noProof/>
        <w:lang w:val="en-US"/>
      </w:rPr>
      <w:drawing>
        <wp:anchor distT="0" distB="0" distL="114300" distR="114300" simplePos="0" relativeHeight="251655680" behindDoc="0" locked="0" layoutInCell="1" allowOverlap="1" wp14:anchorId="5FB1F9BE" wp14:editId="49C6C5EA">
          <wp:simplePos x="0" y="0"/>
          <wp:positionH relativeFrom="column">
            <wp:posOffset>-798830</wp:posOffset>
          </wp:positionH>
          <wp:positionV relativeFrom="page">
            <wp:posOffset>9454515</wp:posOffset>
          </wp:positionV>
          <wp:extent cx="7366000" cy="393700"/>
          <wp:effectExtent l="0" t="0" r="6350" b="6350"/>
          <wp:wrapNone/>
          <wp:docPr id="1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p w14:paraId="567F1E79" w14:textId="77777777" w:rsidR="007427BF" w:rsidRDefault="00381AC8" w:rsidP="007427BF">
    <w:pPr>
      <w:pStyle w:val="Footer"/>
      <w:ind w:left="-567"/>
    </w:pPr>
    <w:r>
      <w:rPr>
        <w:noProof/>
        <w:lang w:val="en-US"/>
      </w:rPr>
      <w:drawing>
        <wp:anchor distT="0" distB="0" distL="114300" distR="114300" simplePos="0" relativeHeight="251658752" behindDoc="0" locked="0" layoutInCell="1" allowOverlap="1" wp14:anchorId="69A37E51" wp14:editId="4031E13D">
          <wp:simplePos x="0" y="0"/>
          <wp:positionH relativeFrom="column">
            <wp:posOffset>4890770</wp:posOffset>
          </wp:positionH>
          <wp:positionV relativeFrom="paragraph">
            <wp:posOffset>320040</wp:posOffset>
          </wp:positionV>
          <wp:extent cx="1323975" cy="476250"/>
          <wp:effectExtent l="0" t="0" r="9525" b="0"/>
          <wp:wrapNone/>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d.showell\Desktop\Files - Tasmanian Government version\JPG\100079 Tas Gov_no tag_rgb_h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0FA98" w14:textId="77777777" w:rsidR="00E35BCB" w:rsidRDefault="00E35BCB" w:rsidP="007427BF">
    <w:pPr>
      <w:pStyle w:val="Footer"/>
      <w:ind w:left="-567"/>
    </w:pPr>
  </w:p>
  <w:p w14:paraId="375A95FA" w14:textId="77777777" w:rsidR="007427BF" w:rsidRDefault="007427BF" w:rsidP="007427BF">
    <w:pPr>
      <w:pStyle w:val="Footertext"/>
      <w:ind w:left="-567"/>
    </w:pPr>
    <w:r>
      <w:t xml:space="preserve">Department of </w:t>
    </w:r>
    <w:r w:rsidR="008C2D54">
      <w:t>Justice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A535" w14:textId="77777777" w:rsidR="00E35BCB" w:rsidRPr="00C279FC" w:rsidRDefault="00E35BCB" w:rsidP="000F0251">
    <w:pPr>
      <w:spacing w:after="40"/>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B3A7" w14:textId="77777777" w:rsidR="00B7541B" w:rsidRDefault="00B7541B">
      <w:pPr>
        <w:spacing w:before="0" w:after="0" w:line="240" w:lineRule="auto"/>
      </w:pPr>
      <w:r>
        <w:separator/>
      </w:r>
    </w:p>
  </w:footnote>
  <w:footnote w:type="continuationSeparator" w:id="0">
    <w:p w14:paraId="17EF7D55" w14:textId="77777777" w:rsidR="00B7541B" w:rsidRDefault="00B7541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A1D7" w14:textId="77777777" w:rsidR="009F602D" w:rsidRPr="0098598C" w:rsidRDefault="004E638D" w:rsidP="00E1689B">
    <w:pPr>
      <w:tabs>
        <w:tab w:val="left" w:pos="4253"/>
        <w:tab w:val="left" w:pos="4536"/>
        <w:tab w:val="left" w:pos="4678"/>
        <w:tab w:val="right" w:pos="8685"/>
      </w:tabs>
      <w:jc w:val="right"/>
      <w:rPr>
        <w:rFonts w:ascii="Gill Sans MT" w:hAnsi="Gill Sans MT"/>
        <w:b/>
      </w:rPr>
    </w:pPr>
    <w:r>
      <w:rPr>
        <w:rFonts w:ascii="Gill Sans MT" w:hAnsi="Gill Sans MT"/>
        <w:b/>
      </w:rPr>
      <w:t>ELECTORAL ACT REVIEW</w:t>
    </w:r>
    <w:r w:rsidR="00E1689B">
      <w:rPr>
        <w:rFonts w:ascii="Gill Sans MT" w:hAnsi="Gill Sans MT"/>
        <w:b/>
      </w:rPr>
      <w:t xml:space="preserve"> - </w:t>
    </w:r>
    <w:r w:rsidR="009F602D">
      <w:rPr>
        <w:rFonts w:ascii="Gill Sans MT" w:hAnsi="Gill Sans MT"/>
        <w:b/>
      </w:rPr>
      <w:t xml:space="preserve">FACT SHEET </w:t>
    </w:r>
    <w:r w:rsidR="00D51302">
      <w:rPr>
        <w:rFonts w:ascii="Gill Sans MT" w:hAnsi="Gill Sans MT"/>
        <w:b/>
      </w:rPr>
      <w:t>1</w:t>
    </w:r>
  </w:p>
  <w:p w14:paraId="6745861A" w14:textId="77777777" w:rsidR="00E35BCB" w:rsidRDefault="00381AC8" w:rsidP="00E35BCB">
    <w:pPr>
      <w:pStyle w:val="Header"/>
    </w:pPr>
    <w:r>
      <w:drawing>
        <wp:anchor distT="0" distB="0" distL="114300" distR="114300" simplePos="0" relativeHeight="251656704" behindDoc="1" locked="0" layoutInCell="1" allowOverlap="1" wp14:anchorId="1C57D80D" wp14:editId="71081F9F">
          <wp:simplePos x="0" y="0"/>
          <wp:positionH relativeFrom="column">
            <wp:posOffset>-1341120</wp:posOffset>
          </wp:positionH>
          <wp:positionV relativeFrom="page">
            <wp:posOffset>266065</wp:posOffset>
          </wp:positionV>
          <wp:extent cx="8230870" cy="1195070"/>
          <wp:effectExtent l="0" t="0" r="0" b="0"/>
          <wp:wrapNone/>
          <wp:docPr id="11" name="Picture 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7B3" w14:textId="77777777" w:rsidR="001743E6" w:rsidRDefault="00174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510C" w14:textId="245E01B3" w:rsidR="00E35BCB" w:rsidRPr="00C279FC" w:rsidRDefault="00381AC8" w:rsidP="00E35BCB">
    <w:pPr>
      <w:pStyle w:val="Header"/>
      <w:rPr>
        <w:i/>
        <w:sz w:val="22"/>
      </w:rPr>
    </w:pPr>
    <w:r w:rsidRPr="00C279FC">
      <w:rPr>
        <w:i/>
        <w:sz w:val="22"/>
      </w:rPr>
      <mc:AlternateContent>
        <mc:Choice Requires="wps">
          <w:drawing>
            <wp:anchor distT="0" distB="0" distL="114300" distR="114300" simplePos="0" relativeHeight="251657728" behindDoc="1" locked="0" layoutInCell="1" allowOverlap="1" wp14:anchorId="4BD18588" wp14:editId="3FFC7D09">
              <wp:simplePos x="0" y="0"/>
              <wp:positionH relativeFrom="column">
                <wp:posOffset>-1332230</wp:posOffset>
              </wp:positionH>
              <wp:positionV relativeFrom="page">
                <wp:posOffset>252730</wp:posOffset>
              </wp:positionV>
              <wp:extent cx="1106170" cy="1106170"/>
              <wp:effectExtent l="10795" t="14605" r="16510" b="12700"/>
              <wp:wrapNone/>
              <wp:docPr id="4" name="Oval 7"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noFill/>
                      <a:ln w="19050">
                        <a:solidFill>
                          <a:srgbClr val="5C7F92">
                            <a:alpha val="50000"/>
                          </a:srgb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16B65" id="Oval 7" o:spid="_x0000_s1026" alt="decorative" style="position:absolute;margin-left:-104.9pt;margin-top:19.9pt;width:87.1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RNwMAAPwGAAAOAAAAZHJzL2Uyb0RvYy54bWysVduO0zAQfUfiHyy/Z5O06S3aLOqmDUIC&#10;FmlBPLuxk1g4drDdpgvi3xk7aWkXHhCilSKP7bmdOTO+fXVsBTowbbiSGY5vIoyYLBXlss7wp49F&#10;sMTIWCIpEUqyDD8xg1/dvXxx23cpm6hGCco0AiPSpH2X4cbaLg1DUzasJeZGdUzCYaV0SyyIug6p&#10;Jj1Yb0U4iaJ52CtNO61KZgzsboZDfOftVxUr7UNVGWaRyDDEZv1X++/OfcO7W5LWmnQNL8cwyD9E&#10;0RIuwenZ1IZYgvaa/2aq5aVWRlX2plRtqKqKl8znANnE0bNsHhvSMZ8LgGO6M0zm/5kt3x8+aMRp&#10;hhOMJGmhRA8HItACI8pMCUhRVipNLD8wB1bfmRR0HrsP2qVrureq/GKQVHlDZM3WWqu+YYRCiLG7&#10;H14pOMGAKtr17xQFX2RvlcftWOnWGQRE0NGX5+lcHna0qITNOI7m8QKqWMLZSXA+SHpS77Sxr5lq&#10;kVtkmAnBO+MgJCk5vDV2uH265balKrgQsE9SIVEPhlfRLPIaRglO3ak7NLre5UIjACfDs3xRrCaD&#10;WdE1ZNyN4OeTPl/3wV3Z0WovqXfnYNqOa0u4GNaQjJDOIfPsHWIG6Whh6fcBDc+s76totV1ul0mQ&#10;TObbIIk2m2Bd5EkwL+LFbDPd5Pkm/uGCjJO04ZQy6ZI5sTxO/o5FY78N/LzkuYcGaWU/c9t4qrqK&#10;uRBrM8ZaG9QpoMKI5yWEq/s8LooRrdoMasPt2OH4B5VpsYzyzYUKYHV2JbhEwECoTTKoD6WG1h5L&#10;GF7D4CsDqF5Dui5m0SKZLoPFYjYNkuk2Cu6XRR6s83g+X2zv8/vtM0i3vkzm/6B6rrmLSu0t048N&#10;7RHljswTlxm0JYemPCWJiKhh7pZW4z9W4oq1y8j9n7N2OouioVWvWXt2PyB1YqOTznwak/+FJVTk&#10;xFTf+a7Zh6GxU/QJGh/o4ujgngxYNEp/w6iH8Zth83VPNMNIvJHAmFWcJG5eXwr6UthdCkSWYCrD&#10;FgMH3DK3IIH+vtO8bsBT7NOWag0Dp+J+DrhhNEQF8TsBRqzPZHwO3Ay/lP2tX4/W3U8AAAD//wMA&#10;UEsDBBQABgAIAAAAIQDVJd7z4QAAAAsBAAAPAAAAZHJzL2Rvd25yZXYueG1sTI/NTsMwEITvSLyD&#10;tUjcUjvpDxCyqRACTgjRAOLqxksSiO3Idlv37XFPcFqNdjTzTbWOemR7cn6wBiGfCWBkWqsG0yG8&#10;vz1m18B8kEbJ0RpCOJKHdX1+VslS2YPZ0L4JHUshxpcSoQ9hKjn3bU9a+pmdyKTfl3VahiRdx5WT&#10;hxSuR14IseJaDiY19HKi+57an2anET6+84enl+fXhTtu8mKIn83yKjaIlxfx7hZYoBj+zHDCT+hQ&#10;J6at3Rnl2YiQFeImsQeE+ekmRzZfroBtEYp8IYDXFf+/of4FAAD//wMAUEsBAi0AFAAGAAgAAAAh&#10;ALaDOJL+AAAA4QEAABMAAAAAAAAAAAAAAAAAAAAAAFtDb250ZW50X1R5cGVzXS54bWxQSwECLQAU&#10;AAYACAAAACEAOP0h/9YAAACUAQAACwAAAAAAAAAAAAAAAAAvAQAAX3JlbHMvLnJlbHNQSwECLQAU&#10;AAYACAAAACEArfvZETcDAAD8BgAADgAAAAAAAAAAAAAAAAAuAgAAZHJzL2Uyb0RvYy54bWxQSwEC&#10;LQAUAAYACAAAACEA1SXe8+EAAAALAQAADwAAAAAAAAAAAAAAAACRBQAAZHJzL2Rvd25yZXYueG1s&#10;UEsFBgAAAAAEAAQA8wAAAJ8GAAAAAA==&#10;" filled="f" fillcolor="#9bc1ff" strokecolor="#5c7f92" strokeweight="1.5pt">
              <v:fill color2="#3f80cd" focus="100%" type="gradient">
                <o:fill v:ext="view" type="gradientUnscaled"/>
              </v:fill>
              <v:stroke opacity="32896f"/>
              <v:shadow opacity="22938f" offset="0"/>
              <v:textbox inset=",7.2pt,,7.2pt"/>
              <w10:wrap anchory="page"/>
            </v:oval>
          </w:pict>
        </mc:Fallback>
      </mc:AlternateContent>
    </w:r>
    <w:r w:rsidR="0003223D">
      <w:rPr>
        <w:i/>
        <w:sz w:val="22"/>
      </w:rPr>
      <w:t>eLECTORAL ACT reVIEW</w:t>
    </w:r>
    <w:r w:rsidR="00E35BCB" w:rsidRPr="00C279FC">
      <w:rPr>
        <w:i/>
        <w:sz w:val="22"/>
      </w:rPr>
      <w:br/>
    </w:r>
  </w:p>
  <w:p w14:paraId="55F50808" w14:textId="77777777" w:rsidR="00E35BCB" w:rsidRPr="00D3760D" w:rsidRDefault="00E35BCB" w:rsidP="00E35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265A" w14:textId="77777777" w:rsidR="001743E6" w:rsidRDefault="0017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70D6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023F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E9D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83F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26E9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2E1BE7"/>
    <w:multiLevelType w:val="hybridMultilevel"/>
    <w:tmpl w:val="525611B8"/>
    <w:lvl w:ilvl="0" w:tplc="0C09000B">
      <w:start w:val="1"/>
      <w:numFmt w:val="bullet"/>
      <w:lvlText w:val=""/>
      <w:lvlJc w:val="left"/>
      <w:pPr>
        <w:ind w:left="2700" w:hanging="360"/>
      </w:pPr>
      <w:rPr>
        <w:rFonts w:ascii="Wingdings" w:hAnsi="Wingdings" w:hint="default"/>
      </w:rPr>
    </w:lvl>
    <w:lvl w:ilvl="1" w:tplc="0C090019">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13" w15:restartNumberingAfterBreak="0">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5737F2E"/>
    <w:multiLevelType w:val="hybridMultilevel"/>
    <w:tmpl w:val="C026FA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237D44"/>
    <w:multiLevelType w:val="hybridMultilevel"/>
    <w:tmpl w:val="EB4E9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DA56C28"/>
    <w:multiLevelType w:val="hybridMultilevel"/>
    <w:tmpl w:val="F8BC033E"/>
    <w:lvl w:ilvl="0" w:tplc="C7BE4696">
      <w:start w:val="1"/>
      <w:numFmt w:val="bullet"/>
      <w:lvlText w:val=""/>
      <w:lvlJc w:val="left"/>
      <w:pPr>
        <w:tabs>
          <w:tab w:val="num" w:pos="720"/>
        </w:tabs>
        <w:ind w:left="720" w:hanging="360"/>
      </w:pPr>
      <w:rPr>
        <w:rFonts w:ascii="Wingdings 3" w:hAnsi="Wingdings 3" w:hint="default"/>
      </w:rPr>
    </w:lvl>
    <w:lvl w:ilvl="1" w:tplc="6A5CBBFA" w:tentative="1">
      <w:start w:val="1"/>
      <w:numFmt w:val="bullet"/>
      <w:lvlText w:val=""/>
      <w:lvlJc w:val="left"/>
      <w:pPr>
        <w:tabs>
          <w:tab w:val="num" w:pos="1440"/>
        </w:tabs>
        <w:ind w:left="1440" w:hanging="360"/>
      </w:pPr>
      <w:rPr>
        <w:rFonts w:ascii="Wingdings 3" w:hAnsi="Wingdings 3" w:hint="default"/>
      </w:rPr>
    </w:lvl>
    <w:lvl w:ilvl="2" w:tplc="1FE4F06C" w:tentative="1">
      <w:start w:val="1"/>
      <w:numFmt w:val="bullet"/>
      <w:lvlText w:val=""/>
      <w:lvlJc w:val="left"/>
      <w:pPr>
        <w:tabs>
          <w:tab w:val="num" w:pos="2160"/>
        </w:tabs>
        <w:ind w:left="2160" w:hanging="360"/>
      </w:pPr>
      <w:rPr>
        <w:rFonts w:ascii="Wingdings 3" w:hAnsi="Wingdings 3" w:hint="default"/>
      </w:rPr>
    </w:lvl>
    <w:lvl w:ilvl="3" w:tplc="F58C9030" w:tentative="1">
      <w:start w:val="1"/>
      <w:numFmt w:val="bullet"/>
      <w:lvlText w:val=""/>
      <w:lvlJc w:val="left"/>
      <w:pPr>
        <w:tabs>
          <w:tab w:val="num" w:pos="2880"/>
        </w:tabs>
        <w:ind w:left="2880" w:hanging="360"/>
      </w:pPr>
      <w:rPr>
        <w:rFonts w:ascii="Wingdings 3" w:hAnsi="Wingdings 3" w:hint="default"/>
      </w:rPr>
    </w:lvl>
    <w:lvl w:ilvl="4" w:tplc="29865B78" w:tentative="1">
      <w:start w:val="1"/>
      <w:numFmt w:val="bullet"/>
      <w:lvlText w:val=""/>
      <w:lvlJc w:val="left"/>
      <w:pPr>
        <w:tabs>
          <w:tab w:val="num" w:pos="3600"/>
        </w:tabs>
        <w:ind w:left="3600" w:hanging="360"/>
      </w:pPr>
      <w:rPr>
        <w:rFonts w:ascii="Wingdings 3" w:hAnsi="Wingdings 3" w:hint="default"/>
      </w:rPr>
    </w:lvl>
    <w:lvl w:ilvl="5" w:tplc="6F5ED2CE" w:tentative="1">
      <w:start w:val="1"/>
      <w:numFmt w:val="bullet"/>
      <w:lvlText w:val=""/>
      <w:lvlJc w:val="left"/>
      <w:pPr>
        <w:tabs>
          <w:tab w:val="num" w:pos="4320"/>
        </w:tabs>
        <w:ind w:left="4320" w:hanging="360"/>
      </w:pPr>
      <w:rPr>
        <w:rFonts w:ascii="Wingdings 3" w:hAnsi="Wingdings 3" w:hint="default"/>
      </w:rPr>
    </w:lvl>
    <w:lvl w:ilvl="6" w:tplc="C70A5182" w:tentative="1">
      <w:start w:val="1"/>
      <w:numFmt w:val="bullet"/>
      <w:lvlText w:val=""/>
      <w:lvlJc w:val="left"/>
      <w:pPr>
        <w:tabs>
          <w:tab w:val="num" w:pos="5040"/>
        </w:tabs>
        <w:ind w:left="5040" w:hanging="360"/>
      </w:pPr>
      <w:rPr>
        <w:rFonts w:ascii="Wingdings 3" w:hAnsi="Wingdings 3" w:hint="default"/>
      </w:rPr>
    </w:lvl>
    <w:lvl w:ilvl="7" w:tplc="50D2FAB6" w:tentative="1">
      <w:start w:val="1"/>
      <w:numFmt w:val="bullet"/>
      <w:lvlText w:val=""/>
      <w:lvlJc w:val="left"/>
      <w:pPr>
        <w:tabs>
          <w:tab w:val="num" w:pos="5760"/>
        </w:tabs>
        <w:ind w:left="5760" w:hanging="360"/>
      </w:pPr>
      <w:rPr>
        <w:rFonts w:ascii="Wingdings 3" w:hAnsi="Wingdings 3" w:hint="default"/>
      </w:rPr>
    </w:lvl>
    <w:lvl w:ilvl="8" w:tplc="CCA6A43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52E135F"/>
    <w:multiLevelType w:val="hybridMultilevel"/>
    <w:tmpl w:val="E28E25C4"/>
    <w:lvl w:ilvl="0" w:tplc="2B7C8CC2">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BB75C2"/>
    <w:multiLevelType w:val="hybridMultilevel"/>
    <w:tmpl w:val="EEDAB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E03BA"/>
    <w:multiLevelType w:val="hybridMultilevel"/>
    <w:tmpl w:val="44445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16B80"/>
    <w:multiLevelType w:val="hybridMultilevel"/>
    <w:tmpl w:val="D66C7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A046564"/>
    <w:multiLevelType w:val="hybridMultilevel"/>
    <w:tmpl w:val="6406CAE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2FC10E3"/>
    <w:multiLevelType w:val="hybridMultilevel"/>
    <w:tmpl w:val="6142B322"/>
    <w:lvl w:ilvl="0" w:tplc="B4A822AE">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8780C"/>
    <w:multiLevelType w:val="hybridMultilevel"/>
    <w:tmpl w:val="50BCBA5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1"/>
  </w:num>
  <w:num w:numId="3">
    <w:abstractNumId w:val="11"/>
  </w:num>
  <w:num w:numId="4">
    <w:abstractNumId w:val="2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26"/>
  </w:num>
  <w:num w:numId="18">
    <w:abstractNumId w:val="14"/>
  </w:num>
  <w:num w:numId="19">
    <w:abstractNumId w:val="21"/>
  </w:num>
  <w:num w:numId="20">
    <w:abstractNumId w:val="28"/>
  </w:num>
  <w:num w:numId="21">
    <w:abstractNumId w:val="18"/>
  </w:num>
  <w:num w:numId="22">
    <w:abstractNumId w:val="26"/>
    <w:lvlOverride w:ilvl="0">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12"/>
  </w:num>
  <w:num w:numId="29">
    <w:abstractNumId w:val="25"/>
  </w:num>
  <w:num w:numId="30">
    <w:abstractNumId w:val="23"/>
  </w:num>
  <w:num w:numId="31">
    <w:abstractNumId w:val="17"/>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5c7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C9"/>
    <w:rsid w:val="000172FA"/>
    <w:rsid w:val="000234C9"/>
    <w:rsid w:val="00030EED"/>
    <w:rsid w:val="0003223D"/>
    <w:rsid w:val="0003333E"/>
    <w:rsid w:val="00037154"/>
    <w:rsid w:val="00046D02"/>
    <w:rsid w:val="000611F6"/>
    <w:rsid w:val="00063304"/>
    <w:rsid w:val="000777AF"/>
    <w:rsid w:val="00082CEE"/>
    <w:rsid w:val="00083F57"/>
    <w:rsid w:val="00094C1B"/>
    <w:rsid w:val="000B3BF3"/>
    <w:rsid w:val="000B4171"/>
    <w:rsid w:val="000C5AFA"/>
    <w:rsid w:val="000D2821"/>
    <w:rsid w:val="000E48EA"/>
    <w:rsid w:val="000F0251"/>
    <w:rsid w:val="000F55A1"/>
    <w:rsid w:val="000F79C3"/>
    <w:rsid w:val="001004A9"/>
    <w:rsid w:val="001034AC"/>
    <w:rsid w:val="0010544F"/>
    <w:rsid w:val="00115250"/>
    <w:rsid w:val="00122EA9"/>
    <w:rsid w:val="00140099"/>
    <w:rsid w:val="00141E3D"/>
    <w:rsid w:val="00155EFC"/>
    <w:rsid w:val="001743E6"/>
    <w:rsid w:val="00176D1C"/>
    <w:rsid w:val="00181AB6"/>
    <w:rsid w:val="00185E4C"/>
    <w:rsid w:val="00194E89"/>
    <w:rsid w:val="001A69F0"/>
    <w:rsid w:val="001B0609"/>
    <w:rsid w:val="001B2F79"/>
    <w:rsid w:val="001B78DF"/>
    <w:rsid w:val="001C6CB3"/>
    <w:rsid w:val="00205005"/>
    <w:rsid w:val="00212EE7"/>
    <w:rsid w:val="00214367"/>
    <w:rsid w:val="002234D6"/>
    <w:rsid w:val="00232ADC"/>
    <w:rsid w:val="00236222"/>
    <w:rsid w:val="00242AFD"/>
    <w:rsid w:val="00244739"/>
    <w:rsid w:val="002674D5"/>
    <w:rsid w:val="00273046"/>
    <w:rsid w:val="00280C97"/>
    <w:rsid w:val="002970F7"/>
    <w:rsid w:val="002B6D13"/>
    <w:rsid w:val="002C5CE1"/>
    <w:rsid w:val="002D17EB"/>
    <w:rsid w:val="002D3D0E"/>
    <w:rsid w:val="002E0143"/>
    <w:rsid w:val="002F3A08"/>
    <w:rsid w:val="002F5CDD"/>
    <w:rsid w:val="00300F38"/>
    <w:rsid w:val="00302252"/>
    <w:rsid w:val="003301BF"/>
    <w:rsid w:val="003303A4"/>
    <w:rsid w:val="00363F51"/>
    <w:rsid w:val="00381AC8"/>
    <w:rsid w:val="00387B4D"/>
    <w:rsid w:val="003B64C0"/>
    <w:rsid w:val="003C1BBA"/>
    <w:rsid w:val="003C7966"/>
    <w:rsid w:val="003D559A"/>
    <w:rsid w:val="003E40A0"/>
    <w:rsid w:val="00400367"/>
    <w:rsid w:val="004047FE"/>
    <w:rsid w:val="00404C6D"/>
    <w:rsid w:val="00406AA8"/>
    <w:rsid w:val="00412328"/>
    <w:rsid w:val="00414BDB"/>
    <w:rsid w:val="004236F7"/>
    <w:rsid w:val="00443BDF"/>
    <w:rsid w:val="00451D8E"/>
    <w:rsid w:val="004621CE"/>
    <w:rsid w:val="00463AF3"/>
    <w:rsid w:val="004806B1"/>
    <w:rsid w:val="00490146"/>
    <w:rsid w:val="00496BFC"/>
    <w:rsid w:val="004A4575"/>
    <w:rsid w:val="004B05EE"/>
    <w:rsid w:val="004B3B15"/>
    <w:rsid w:val="004B3D99"/>
    <w:rsid w:val="004B70EE"/>
    <w:rsid w:val="004C7AB2"/>
    <w:rsid w:val="004D0C90"/>
    <w:rsid w:val="004D21CF"/>
    <w:rsid w:val="004E06CC"/>
    <w:rsid w:val="004E0BD7"/>
    <w:rsid w:val="004E3F80"/>
    <w:rsid w:val="004E638D"/>
    <w:rsid w:val="004E742A"/>
    <w:rsid w:val="004E7B11"/>
    <w:rsid w:val="004F52F4"/>
    <w:rsid w:val="004F52F6"/>
    <w:rsid w:val="004F6D98"/>
    <w:rsid w:val="005224BB"/>
    <w:rsid w:val="00530355"/>
    <w:rsid w:val="0053558F"/>
    <w:rsid w:val="00541AB4"/>
    <w:rsid w:val="00544BEB"/>
    <w:rsid w:val="00556D33"/>
    <w:rsid w:val="00565935"/>
    <w:rsid w:val="00571E1E"/>
    <w:rsid w:val="0057666D"/>
    <w:rsid w:val="00590C05"/>
    <w:rsid w:val="005946CF"/>
    <w:rsid w:val="005A6A30"/>
    <w:rsid w:val="005B672A"/>
    <w:rsid w:val="005B7366"/>
    <w:rsid w:val="005D78F9"/>
    <w:rsid w:val="00605588"/>
    <w:rsid w:val="00625E70"/>
    <w:rsid w:val="00636C3D"/>
    <w:rsid w:val="006434D9"/>
    <w:rsid w:val="00647123"/>
    <w:rsid w:val="006534E9"/>
    <w:rsid w:val="0066061E"/>
    <w:rsid w:val="0066435B"/>
    <w:rsid w:val="006779D2"/>
    <w:rsid w:val="00691294"/>
    <w:rsid w:val="006927CC"/>
    <w:rsid w:val="006B5F24"/>
    <w:rsid w:val="006D05A5"/>
    <w:rsid w:val="006E16BD"/>
    <w:rsid w:val="006E2800"/>
    <w:rsid w:val="006E4FA6"/>
    <w:rsid w:val="006F3B76"/>
    <w:rsid w:val="006F4215"/>
    <w:rsid w:val="00707B63"/>
    <w:rsid w:val="007126C7"/>
    <w:rsid w:val="00720011"/>
    <w:rsid w:val="0072625D"/>
    <w:rsid w:val="00733D5E"/>
    <w:rsid w:val="007427BF"/>
    <w:rsid w:val="00743F96"/>
    <w:rsid w:val="0074567A"/>
    <w:rsid w:val="0075566A"/>
    <w:rsid w:val="007638DC"/>
    <w:rsid w:val="007750F8"/>
    <w:rsid w:val="007753B6"/>
    <w:rsid w:val="007819DF"/>
    <w:rsid w:val="00784396"/>
    <w:rsid w:val="007869B3"/>
    <w:rsid w:val="007915BD"/>
    <w:rsid w:val="007954E3"/>
    <w:rsid w:val="007A5AA4"/>
    <w:rsid w:val="007B261C"/>
    <w:rsid w:val="007D29D6"/>
    <w:rsid w:val="007D6DF9"/>
    <w:rsid w:val="007E4787"/>
    <w:rsid w:val="00804494"/>
    <w:rsid w:val="00806FC7"/>
    <w:rsid w:val="008231B6"/>
    <w:rsid w:val="008270B8"/>
    <w:rsid w:val="008403D3"/>
    <w:rsid w:val="00840556"/>
    <w:rsid w:val="00844758"/>
    <w:rsid w:val="00846C4E"/>
    <w:rsid w:val="00847225"/>
    <w:rsid w:val="00851DD2"/>
    <w:rsid w:val="00860537"/>
    <w:rsid w:val="00862188"/>
    <w:rsid w:val="008673F1"/>
    <w:rsid w:val="00871837"/>
    <w:rsid w:val="00887298"/>
    <w:rsid w:val="008A3097"/>
    <w:rsid w:val="008A3C8E"/>
    <w:rsid w:val="008A52FC"/>
    <w:rsid w:val="008C2D54"/>
    <w:rsid w:val="008C6C5B"/>
    <w:rsid w:val="008F1D19"/>
    <w:rsid w:val="008F57B4"/>
    <w:rsid w:val="00903FEE"/>
    <w:rsid w:val="00913EEC"/>
    <w:rsid w:val="00917AF4"/>
    <w:rsid w:val="00924493"/>
    <w:rsid w:val="00925B6F"/>
    <w:rsid w:val="0093315F"/>
    <w:rsid w:val="00942DB3"/>
    <w:rsid w:val="00954D7B"/>
    <w:rsid w:val="00973215"/>
    <w:rsid w:val="009778E5"/>
    <w:rsid w:val="009831D2"/>
    <w:rsid w:val="00995591"/>
    <w:rsid w:val="009B4766"/>
    <w:rsid w:val="009C294B"/>
    <w:rsid w:val="009D3263"/>
    <w:rsid w:val="009D3820"/>
    <w:rsid w:val="009F2A15"/>
    <w:rsid w:val="009F602D"/>
    <w:rsid w:val="00A14AA8"/>
    <w:rsid w:val="00A244F8"/>
    <w:rsid w:val="00A35BF3"/>
    <w:rsid w:val="00A44206"/>
    <w:rsid w:val="00A45E14"/>
    <w:rsid w:val="00A52C78"/>
    <w:rsid w:val="00A55CDC"/>
    <w:rsid w:val="00A73096"/>
    <w:rsid w:val="00A7675E"/>
    <w:rsid w:val="00A87CA8"/>
    <w:rsid w:val="00A906DD"/>
    <w:rsid w:val="00A93505"/>
    <w:rsid w:val="00AB6D30"/>
    <w:rsid w:val="00AC4472"/>
    <w:rsid w:val="00AC57F7"/>
    <w:rsid w:val="00AC6061"/>
    <w:rsid w:val="00AD2300"/>
    <w:rsid w:val="00AD597F"/>
    <w:rsid w:val="00AD7131"/>
    <w:rsid w:val="00AF1A72"/>
    <w:rsid w:val="00B01A97"/>
    <w:rsid w:val="00B141C0"/>
    <w:rsid w:val="00B218F6"/>
    <w:rsid w:val="00B24662"/>
    <w:rsid w:val="00B24B85"/>
    <w:rsid w:val="00B24F97"/>
    <w:rsid w:val="00B26A3F"/>
    <w:rsid w:val="00B510E5"/>
    <w:rsid w:val="00B538B9"/>
    <w:rsid w:val="00B546D6"/>
    <w:rsid w:val="00B67395"/>
    <w:rsid w:val="00B7541B"/>
    <w:rsid w:val="00B810B8"/>
    <w:rsid w:val="00B868C9"/>
    <w:rsid w:val="00B93407"/>
    <w:rsid w:val="00BA0CF9"/>
    <w:rsid w:val="00BB7CBA"/>
    <w:rsid w:val="00BC0637"/>
    <w:rsid w:val="00BC14D6"/>
    <w:rsid w:val="00BC2104"/>
    <w:rsid w:val="00BC3080"/>
    <w:rsid w:val="00BC52D8"/>
    <w:rsid w:val="00BE50D2"/>
    <w:rsid w:val="00C079F9"/>
    <w:rsid w:val="00C10B51"/>
    <w:rsid w:val="00C279FC"/>
    <w:rsid w:val="00C51E35"/>
    <w:rsid w:val="00C52A7F"/>
    <w:rsid w:val="00C54921"/>
    <w:rsid w:val="00C61359"/>
    <w:rsid w:val="00C84798"/>
    <w:rsid w:val="00C878F4"/>
    <w:rsid w:val="00C95E53"/>
    <w:rsid w:val="00CB58FE"/>
    <w:rsid w:val="00CB796C"/>
    <w:rsid w:val="00CC06D0"/>
    <w:rsid w:val="00CC2E88"/>
    <w:rsid w:val="00CE2FF6"/>
    <w:rsid w:val="00CF1237"/>
    <w:rsid w:val="00CF15DF"/>
    <w:rsid w:val="00D03828"/>
    <w:rsid w:val="00D42B30"/>
    <w:rsid w:val="00D50396"/>
    <w:rsid w:val="00D51302"/>
    <w:rsid w:val="00D536EE"/>
    <w:rsid w:val="00D8255C"/>
    <w:rsid w:val="00D9312A"/>
    <w:rsid w:val="00DA3BC3"/>
    <w:rsid w:val="00DB41F8"/>
    <w:rsid w:val="00DB427A"/>
    <w:rsid w:val="00DC0850"/>
    <w:rsid w:val="00DC3021"/>
    <w:rsid w:val="00DC3B4C"/>
    <w:rsid w:val="00DD4A67"/>
    <w:rsid w:val="00DD5807"/>
    <w:rsid w:val="00DE5CA0"/>
    <w:rsid w:val="00DE5FBB"/>
    <w:rsid w:val="00DF09C1"/>
    <w:rsid w:val="00E1689B"/>
    <w:rsid w:val="00E251EF"/>
    <w:rsid w:val="00E313F4"/>
    <w:rsid w:val="00E34527"/>
    <w:rsid w:val="00E3534D"/>
    <w:rsid w:val="00E35BCB"/>
    <w:rsid w:val="00E402FC"/>
    <w:rsid w:val="00E43E34"/>
    <w:rsid w:val="00E60171"/>
    <w:rsid w:val="00E6030D"/>
    <w:rsid w:val="00E60DB4"/>
    <w:rsid w:val="00E61295"/>
    <w:rsid w:val="00E655BD"/>
    <w:rsid w:val="00E70C20"/>
    <w:rsid w:val="00E942C8"/>
    <w:rsid w:val="00EB0E34"/>
    <w:rsid w:val="00EB39A1"/>
    <w:rsid w:val="00ED3F5E"/>
    <w:rsid w:val="00ED7807"/>
    <w:rsid w:val="00EF0D20"/>
    <w:rsid w:val="00F078FC"/>
    <w:rsid w:val="00F138AD"/>
    <w:rsid w:val="00F15F6F"/>
    <w:rsid w:val="00F20EF5"/>
    <w:rsid w:val="00F219FD"/>
    <w:rsid w:val="00F22289"/>
    <w:rsid w:val="00F27187"/>
    <w:rsid w:val="00F3291F"/>
    <w:rsid w:val="00F35B48"/>
    <w:rsid w:val="00F40C7B"/>
    <w:rsid w:val="00F40EF5"/>
    <w:rsid w:val="00F412BE"/>
    <w:rsid w:val="00F45076"/>
    <w:rsid w:val="00F61C1A"/>
    <w:rsid w:val="00F65A56"/>
    <w:rsid w:val="00F703CA"/>
    <w:rsid w:val="00F941E4"/>
    <w:rsid w:val="00FA6469"/>
    <w:rsid w:val="00FB396D"/>
    <w:rsid w:val="00FC3F1E"/>
    <w:rsid w:val="00FD6BD7"/>
    <w:rsid w:val="00FF35AB"/>
    <w:rsid w:val="00FF3C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c7f92"/>
    </o:shapedefaults>
    <o:shapelayout v:ext="edit">
      <o:idmap v:ext="edit" data="1"/>
    </o:shapelayout>
  </w:shapeDefaults>
  <w:decimalSymbol w:val="."/>
  <w:listSeparator w:val=","/>
  <w14:docId w14:val="72D43588"/>
  <w15:docId w15:val="{3EE7F012-C939-4287-9E18-D865BFD4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0B4171"/>
    <w:pPr>
      <w:spacing w:before="0"/>
      <w:outlineLvl w:val="0"/>
    </w:pPr>
    <w:rPr>
      <w:rFonts w:ascii="Gill Sans Light" w:hAnsi="Gill Sans Light"/>
      <w:caps/>
      <w:color w:val="94A545"/>
      <w:sz w:val="44"/>
    </w:rPr>
  </w:style>
  <w:style w:type="paragraph" w:styleId="Heading2">
    <w:name w:val="heading 2"/>
    <w:basedOn w:val="Normal"/>
    <w:next w:val="Normal"/>
    <w:link w:val="Heading2Char"/>
    <w:qFormat/>
    <w:rsid w:val="000B4171"/>
    <w:pPr>
      <w:keepNext/>
      <w:spacing w:after="360" w:line="240" w:lineRule="auto"/>
      <w:outlineLvl w:val="1"/>
    </w:pPr>
    <w:rPr>
      <w:rFonts w:ascii="Gill Sans" w:eastAsia="Times New Roman" w:hAnsi="Gill Sans"/>
      <w:b/>
      <w:bCs/>
      <w:iCs/>
      <w:color w:val="5C7F92"/>
      <w:sz w:val="32"/>
      <w:szCs w:val="28"/>
    </w:rPr>
  </w:style>
  <w:style w:type="paragraph" w:styleId="Heading3">
    <w:name w:val="heading 3"/>
    <w:basedOn w:val="Normal"/>
    <w:next w:val="Normal"/>
    <w:link w:val="Heading3Char"/>
    <w:qFormat/>
    <w:rsid w:val="000B4171"/>
    <w:pPr>
      <w:keepNext/>
      <w:spacing w:after="60"/>
      <w:outlineLvl w:val="2"/>
    </w:pPr>
    <w:rPr>
      <w:rFonts w:ascii="Gill Sans" w:eastAsia="Times New Roman" w:hAnsi="Gill Sans"/>
      <w:bCs/>
      <w:color w:val="3F5663"/>
      <w:sz w:val="28"/>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171"/>
    <w:rPr>
      <w:rFonts w:ascii="Gill Sans" w:eastAsia="Times New Roman" w:hAnsi="Gill Sans"/>
      <w:b/>
      <w:bCs/>
      <w:iCs/>
      <w:color w:val="5C7F92"/>
      <w:sz w:val="32"/>
      <w:szCs w:val="28"/>
      <w:lang w:eastAsia="en-US"/>
    </w:rPr>
  </w:style>
  <w:style w:type="character" w:customStyle="1" w:styleId="Heading1Char">
    <w:name w:val="Heading 1 Char"/>
    <w:basedOn w:val="DefaultParagraphFont"/>
    <w:link w:val="Heading1"/>
    <w:uiPriority w:val="9"/>
    <w:rsid w:val="000B4171"/>
    <w:rPr>
      <w:rFonts w:ascii="Gill Sans Light" w:eastAsia="Times New Roman" w:hAnsi="Gill Sans Light"/>
      <w:b/>
      <w:bCs/>
      <w:iCs/>
      <w:color w:val="94A545"/>
      <w:sz w:val="44"/>
      <w:szCs w:val="28"/>
      <w:lang w:eastAsia="en-US"/>
    </w:rPr>
  </w:style>
  <w:style w:type="character" w:customStyle="1" w:styleId="Heading3Char">
    <w:name w:val="Heading 3 Char"/>
    <w:basedOn w:val="DefaultParagraphFont"/>
    <w:link w:val="Heading3"/>
    <w:rsid w:val="000B4171"/>
    <w:rPr>
      <w:rFonts w:ascii="Gill Sans" w:eastAsia="Times New Roman" w:hAnsi="Gill Sans"/>
      <w:bCs/>
      <w:color w:val="3F5663"/>
      <w:sz w:val="28"/>
      <w:szCs w:val="26"/>
      <w:lang w:eastAsia="en-US"/>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0B4171"/>
    <w:rPr>
      <w:rFonts w:ascii="GillSans" w:hAnsi="GillSans"/>
      <w:b w:val="0"/>
      <w:szCs w:val="44"/>
    </w:rPr>
  </w:style>
  <w:style w:type="paragraph" w:customStyle="1" w:styleId="Secondcoverheader">
    <w:name w:val="Second cover header"/>
    <w:basedOn w:val="Heading2"/>
    <w:link w:val="SecondcoverheaderChar"/>
    <w:qFormat/>
    <w:rsid w:val="00242AFD"/>
    <w:rPr>
      <w:b w:val="0"/>
    </w:rPr>
  </w:style>
  <w:style w:type="character" w:customStyle="1" w:styleId="MaincoverheaderChar">
    <w:name w:val="Main cover header Char"/>
    <w:basedOn w:val="Heading1Char"/>
    <w:link w:val="Maincoverheader"/>
    <w:rsid w:val="000B4171"/>
    <w:rPr>
      <w:rFonts w:ascii="GillSans" w:eastAsia="Times New Roman" w:hAnsi="GillSans"/>
      <w:b w:val="0"/>
      <w:bCs/>
      <w:iCs/>
      <w:color w:val="94A545"/>
      <w:sz w:val="44"/>
      <w:szCs w:val="44"/>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val="0"/>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3215"/>
    <w:rPr>
      <w:sz w:val="16"/>
      <w:szCs w:val="16"/>
    </w:rPr>
  </w:style>
  <w:style w:type="paragraph" w:styleId="CommentText">
    <w:name w:val="annotation text"/>
    <w:basedOn w:val="Normal"/>
    <w:link w:val="CommentTextChar"/>
    <w:uiPriority w:val="99"/>
    <w:semiHidden/>
    <w:unhideWhenUsed/>
    <w:rsid w:val="00973215"/>
    <w:pPr>
      <w:spacing w:line="240" w:lineRule="auto"/>
    </w:pPr>
    <w:rPr>
      <w:sz w:val="20"/>
      <w:szCs w:val="20"/>
    </w:rPr>
  </w:style>
  <w:style w:type="character" w:customStyle="1" w:styleId="CommentTextChar">
    <w:name w:val="Comment Text Char"/>
    <w:basedOn w:val="DefaultParagraphFont"/>
    <w:link w:val="CommentText"/>
    <w:uiPriority w:val="99"/>
    <w:semiHidden/>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ListParagraph">
    <w:name w:val="List Paragraph"/>
    <w:basedOn w:val="Normal"/>
    <w:uiPriority w:val="34"/>
    <w:qFormat/>
    <w:rsid w:val="00F61C1A"/>
    <w:pPr>
      <w:ind w:left="720"/>
      <w:contextualSpacing/>
    </w:pPr>
  </w:style>
  <w:style w:type="paragraph" w:styleId="NormalWeb">
    <w:name w:val="Normal (Web)"/>
    <w:basedOn w:val="Normal"/>
    <w:uiPriority w:val="99"/>
    <w:semiHidden/>
    <w:unhideWhenUsed/>
    <w:rsid w:val="00E655BD"/>
    <w:pPr>
      <w:spacing w:before="100" w:beforeAutospacing="1" w:after="100" w:afterAutospacing="1" w:line="240" w:lineRule="auto"/>
    </w:pPr>
    <w:rPr>
      <w:rFonts w:ascii="Times New Roman" w:eastAsia="Times New Roman" w:hAnsi="Times New Roman"/>
      <w:szCs w:val="24"/>
      <w:lang w:eastAsia="en-AU"/>
    </w:rPr>
  </w:style>
  <w:style w:type="character" w:styleId="Hyperlink">
    <w:name w:val="Hyperlink"/>
    <w:basedOn w:val="DefaultParagraphFont"/>
    <w:uiPriority w:val="99"/>
    <w:unhideWhenUsed/>
    <w:rsid w:val="004E638D"/>
    <w:rPr>
      <w:color w:val="0000FF" w:themeColor="hyperlink"/>
      <w:u w:val="single"/>
    </w:rPr>
  </w:style>
  <w:style w:type="character" w:styleId="FollowedHyperlink">
    <w:name w:val="FollowedHyperlink"/>
    <w:basedOn w:val="DefaultParagraphFont"/>
    <w:uiPriority w:val="99"/>
    <w:semiHidden/>
    <w:unhideWhenUsed/>
    <w:rsid w:val="00122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0549">
      <w:bodyDiv w:val="1"/>
      <w:marLeft w:val="0"/>
      <w:marRight w:val="0"/>
      <w:marTop w:val="0"/>
      <w:marBottom w:val="0"/>
      <w:divBdr>
        <w:top w:val="none" w:sz="0" w:space="0" w:color="auto"/>
        <w:left w:val="none" w:sz="0" w:space="0" w:color="auto"/>
        <w:bottom w:val="none" w:sz="0" w:space="0" w:color="auto"/>
        <w:right w:val="none" w:sz="0" w:space="0" w:color="auto"/>
      </w:divBdr>
    </w:div>
    <w:div w:id="526674244">
      <w:bodyDiv w:val="1"/>
      <w:marLeft w:val="0"/>
      <w:marRight w:val="0"/>
      <w:marTop w:val="0"/>
      <w:marBottom w:val="0"/>
      <w:divBdr>
        <w:top w:val="none" w:sz="0" w:space="0" w:color="auto"/>
        <w:left w:val="none" w:sz="0" w:space="0" w:color="auto"/>
        <w:bottom w:val="none" w:sz="0" w:space="0" w:color="auto"/>
        <w:right w:val="none" w:sz="0" w:space="0" w:color="auto"/>
      </w:divBdr>
    </w:div>
    <w:div w:id="699284305">
      <w:bodyDiv w:val="1"/>
      <w:marLeft w:val="0"/>
      <w:marRight w:val="0"/>
      <w:marTop w:val="0"/>
      <w:marBottom w:val="0"/>
      <w:divBdr>
        <w:top w:val="none" w:sz="0" w:space="0" w:color="auto"/>
        <w:left w:val="none" w:sz="0" w:space="0" w:color="auto"/>
        <w:bottom w:val="none" w:sz="0" w:space="0" w:color="auto"/>
        <w:right w:val="none" w:sz="0" w:space="0" w:color="auto"/>
      </w:divBdr>
    </w:div>
    <w:div w:id="870268778">
      <w:bodyDiv w:val="1"/>
      <w:marLeft w:val="0"/>
      <w:marRight w:val="0"/>
      <w:marTop w:val="0"/>
      <w:marBottom w:val="0"/>
      <w:divBdr>
        <w:top w:val="none" w:sz="0" w:space="0" w:color="auto"/>
        <w:left w:val="none" w:sz="0" w:space="0" w:color="auto"/>
        <w:bottom w:val="none" w:sz="0" w:space="0" w:color="auto"/>
        <w:right w:val="none" w:sz="0" w:space="0" w:color="auto"/>
      </w:divBdr>
    </w:div>
    <w:div w:id="1066340236">
      <w:bodyDiv w:val="1"/>
      <w:marLeft w:val="0"/>
      <w:marRight w:val="0"/>
      <w:marTop w:val="0"/>
      <w:marBottom w:val="0"/>
      <w:divBdr>
        <w:top w:val="none" w:sz="0" w:space="0" w:color="auto"/>
        <w:left w:val="none" w:sz="0" w:space="0" w:color="auto"/>
        <w:bottom w:val="none" w:sz="0" w:space="0" w:color="auto"/>
        <w:right w:val="none" w:sz="0" w:space="0" w:color="auto"/>
      </w:divBdr>
    </w:div>
    <w:div w:id="1219324720">
      <w:bodyDiv w:val="1"/>
      <w:marLeft w:val="0"/>
      <w:marRight w:val="0"/>
      <w:marTop w:val="0"/>
      <w:marBottom w:val="0"/>
      <w:divBdr>
        <w:top w:val="none" w:sz="0" w:space="0" w:color="auto"/>
        <w:left w:val="none" w:sz="0" w:space="0" w:color="auto"/>
        <w:bottom w:val="none" w:sz="0" w:space="0" w:color="auto"/>
        <w:right w:val="none" w:sz="0" w:space="0" w:color="auto"/>
      </w:divBdr>
    </w:div>
    <w:div w:id="1259827645">
      <w:bodyDiv w:val="1"/>
      <w:marLeft w:val="0"/>
      <w:marRight w:val="0"/>
      <w:marTop w:val="0"/>
      <w:marBottom w:val="0"/>
      <w:divBdr>
        <w:top w:val="none" w:sz="0" w:space="0" w:color="auto"/>
        <w:left w:val="none" w:sz="0" w:space="0" w:color="auto"/>
        <w:bottom w:val="none" w:sz="0" w:space="0" w:color="auto"/>
        <w:right w:val="none" w:sz="0" w:space="0" w:color="auto"/>
      </w:divBdr>
      <w:divsChild>
        <w:div w:id="506095804">
          <w:marLeft w:val="547"/>
          <w:marRight w:val="0"/>
          <w:marTop w:val="200"/>
          <w:marBottom w:val="0"/>
          <w:divBdr>
            <w:top w:val="none" w:sz="0" w:space="0" w:color="auto"/>
            <w:left w:val="none" w:sz="0" w:space="0" w:color="auto"/>
            <w:bottom w:val="none" w:sz="0" w:space="0" w:color="auto"/>
            <w:right w:val="none" w:sz="0" w:space="0" w:color="auto"/>
          </w:divBdr>
        </w:div>
        <w:div w:id="191846125">
          <w:marLeft w:val="547"/>
          <w:marRight w:val="0"/>
          <w:marTop w:val="200"/>
          <w:marBottom w:val="0"/>
          <w:divBdr>
            <w:top w:val="none" w:sz="0" w:space="0" w:color="auto"/>
            <w:left w:val="none" w:sz="0" w:space="0" w:color="auto"/>
            <w:bottom w:val="none" w:sz="0" w:space="0" w:color="auto"/>
            <w:right w:val="none" w:sz="0" w:space="0" w:color="auto"/>
          </w:divBdr>
        </w:div>
        <w:div w:id="299651677">
          <w:marLeft w:val="547"/>
          <w:marRight w:val="0"/>
          <w:marTop w:val="200"/>
          <w:marBottom w:val="0"/>
          <w:divBdr>
            <w:top w:val="none" w:sz="0" w:space="0" w:color="auto"/>
            <w:left w:val="none" w:sz="0" w:space="0" w:color="auto"/>
            <w:bottom w:val="none" w:sz="0" w:space="0" w:color="auto"/>
            <w:right w:val="none" w:sz="0" w:space="0" w:color="auto"/>
          </w:divBdr>
        </w:div>
        <w:div w:id="524682703">
          <w:marLeft w:val="547"/>
          <w:marRight w:val="0"/>
          <w:marTop w:val="200"/>
          <w:marBottom w:val="0"/>
          <w:divBdr>
            <w:top w:val="none" w:sz="0" w:space="0" w:color="auto"/>
            <w:left w:val="none" w:sz="0" w:space="0" w:color="auto"/>
            <w:bottom w:val="none" w:sz="0" w:space="0" w:color="auto"/>
            <w:right w:val="none" w:sz="0" w:space="0" w:color="auto"/>
          </w:divBdr>
        </w:div>
        <w:div w:id="1405255350">
          <w:marLeft w:val="547"/>
          <w:marRight w:val="0"/>
          <w:marTop w:val="200"/>
          <w:marBottom w:val="0"/>
          <w:divBdr>
            <w:top w:val="none" w:sz="0" w:space="0" w:color="auto"/>
            <w:left w:val="none" w:sz="0" w:space="0" w:color="auto"/>
            <w:bottom w:val="none" w:sz="0" w:space="0" w:color="auto"/>
            <w:right w:val="none" w:sz="0" w:space="0" w:color="auto"/>
          </w:divBdr>
        </w:div>
      </w:divsChild>
    </w:div>
    <w:div w:id="1363821729">
      <w:bodyDiv w:val="1"/>
      <w:marLeft w:val="0"/>
      <w:marRight w:val="0"/>
      <w:marTop w:val="0"/>
      <w:marBottom w:val="0"/>
      <w:divBdr>
        <w:top w:val="none" w:sz="0" w:space="0" w:color="auto"/>
        <w:left w:val="none" w:sz="0" w:space="0" w:color="auto"/>
        <w:bottom w:val="none" w:sz="0" w:space="0" w:color="auto"/>
        <w:right w:val="none" w:sz="0" w:space="0" w:color="auto"/>
      </w:divBdr>
    </w:div>
    <w:div w:id="1457870852">
      <w:bodyDiv w:val="1"/>
      <w:marLeft w:val="0"/>
      <w:marRight w:val="0"/>
      <w:marTop w:val="0"/>
      <w:marBottom w:val="0"/>
      <w:divBdr>
        <w:top w:val="none" w:sz="0" w:space="0" w:color="auto"/>
        <w:left w:val="none" w:sz="0" w:space="0" w:color="auto"/>
        <w:bottom w:val="none" w:sz="0" w:space="0" w:color="auto"/>
        <w:right w:val="none" w:sz="0" w:space="0" w:color="auto"/>
      </w:divBdr>
    </w:div>
    <w:div w:id="1543058300">
      <w:bodyDiv w:val="1"/>
      <w:marLeft w:val="0"/>
      <w:marRight w:val="0"/>
      <w:marTop w:val="0"/>
      <w:marBottom w:val="0"/>
      <w:divBdr>
        <w:top w:val="none" w:sz="0" w:space="0" w:color="auto"/>
        <w:left w:val="none" w:sz="0" w:space="0" w:color="auto"/>
        <w:bottom w:val="none" w:sz="0" w:space="0" w:color="auto"/>
        <w:right w:val="none" w:sz="0" w:space="0" w:color="auto"/>
      </w:divBdr>
    </w:div>
    <w:div w:id="1829596387">
      <w:bodyDiv w:val="1"/>
      <w:marLeft w:val="0"/>
      <w:marRight w:val="0"/>
      <w:marTop w:val="0"/>
      <w:marBottom w:val="0"/>
      <w:divBdr>
        <w:top w:val="none" w:sz="0" w:space="0" w:color="auto"/>
        <w:left w:val="none" w:sz="0" w:space="0" w:color="auto"/>
        <w:bottom w:val="none" w:sz="0" w:space="0" w:color="auto"/>
        <w:right w:val="none" w:sz="0" w:space="0" w:color="auto"/>
      </w:divBdr>
    </w:div>
    <w:div w:id="2062508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3A6B-EA5A-4631-9238-F9E0C86F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Electoral Act Review – Fact Sheet 1</vt:lpstr>
    </vt:vector>
  </TitlesOfParts>
  <Company>Department of Justice</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Review – Fact Sheet 1</dc:title>
  <dc:creator>Felicity Poulter</dc:creator>
  <cp:lastModifiedBy>Smietanska, Aska</cp:lastModifiedBy>
  <cp:revision>2</cp:revision>
  <cp:lastPrinted>2018-06-05T01:12:00Z</cp:lastPrinted>
  <dcterms:created xsi:type="dcterms:W3CDTF">2018-06-06T06:50:00Z</dcterms:created>
  <dcterms:modified xsi:type="dcterms:W3CDTF">2018-06-06T06:50:00Z</dcterms:modified>
</cp:coreProperties>
</file>