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BE" w:rsidRDefault="00BA08BE" w:rsidP="00BA08BE">
      <w:pPr>
        <w:pStyle w:val="Paragraph"/>
        <w:spacing w:after="60"/>
        <w:ind w:right="-284"/>
        <w:jc w:val="left"/>
        <w:rPr>
          <w:rFonts w:ascii="Gill Sans MT" w:hAnsi="Gill Sans MT" w:cs="Arial"/>
          <w:sz w:val="24"/>
          <w:szCs w:val="24"/>
        </w:rPr>
      </w:pPr>
      <w:r w:rsidRPr="00E70B67">
        <w:rPr>
          <w:rFonts w:ascii="Gill Sans MT" w:hAnsi="Gill Sans MT" w:cs="Arial"/>
          <w:sz w:val="24"/>
          <w:szCs w:val="24"/>
          <w:u w:val="single"/>
        </w:rPr>
        <w:t>Section 41</w:t>
      </w:r>
      <w:r w:rsidRPr="00E70B67">
        <w:rPr>
          <w:rFonts w:ascii="Gill Sans MT" w:hAnsi="Gill Sans MT" w:cs="Arial"/>
          <w:sz w:val="24"/>
          <w:szCs w:val="24"/>
        </w:rPr>
        <w:t xml:space="preserve">: Pursuant to s41 of the </w:t>
      </w:r>
      <w:r w:rsidRPr="00DC2EA0">
        <w:rPr>
          <w:rFonts w:ascii="Gill Sans MT" w:hAnsi="Gill Sans MT" w:cs="Arial"/>
          <w:i/>
          <w:sz w:val="24"/>
          <w:szCs w:val="24"/>
        </w:rPr>
        <w:t>Corrections Act 1997</w:t>
      </w:r>
      <w:r w:rsidRPr="00E70B67">
        <w:rPr>
          <w:rFonts w:ascii="Gill Sans MT" w:hAnsi="Gill Sans MT" w:cs="Arial"/>
          <w:sz w:val="24"/>
          <w:szCs w:val="24"/>
        </w:rPr>
        <w:t xml:space="preserve">, the Director may authorise a prisoner or detainee to be absent from a prison for any reason. The </w:t>
      </w:r>
      <w:r w:rsidRPr="00E70B67">
        <w:rPr>
          <w:rFonts w:ascii="Gill Sans MT" w:hAnsi="Gill Sans MT" w:cs="Arial"/>
          <w:i/>
          <w:sz w:val="24"/>
          <w:szCs w:val="24"/>
        </w:rPr>
        <w:t>Corrections Act 1997</w:t>
      </w:r>
      <w:r w:rsidRPr="00E70B67">
        <w:rPr>
          <w:rFonts w:ascii="Gill Sans MT" w:hAnsi="Gill Sans MT" w:cs="Arial"/>
          <w:sz w:val="24"/>
          <w:szCs w:val="24"/>
        </w:rPr>
        <w:t xml:space="preserve"> does not impose any restrictions on the reasons for this type of leave. </w:t>
      </w:r>
    </w:p>
    <w:p w:rsidR="00BA08BE" w:rsidRDefault="00BA08BE" w:rsidP="00BA08BE">
      <w:pPr>
        <w:pStyle w:val="Paragraph"/>
        <w:spacing w:after="60"/>
        <w:ind w:right="-284"/>
        <w:jc w:val="left"/>
        <w:rPr>
          <w:rFonts w:ascii="Gill Sans MT" w:hAnsi="Gill Sans MT" w:cs="Arial"/>
          <w:sz w:val="24"/>
          <w:szCs w:val="24"/>
        </w:rPr>
      </w:pPr>
      <w:r>
        <w:rPr>
          <w:rFonts w:ascii="Gill Sans MT" w:hAnsi="Gill Sans MT" w:cs="Arial"/>
          <w:sz w:val="24"/>
          <w:szCs w:val="24"/>
        </w:rPr>
        <w:t xml:space="preserve">Prisoners granted an authorisation to be absent from prison pursuant to s.41 must be accompanied by a correctional officer, probation officer or other person authorised by the Director. </w:t>
      </w:r>
    </w:p>
    <w:p w:rsidR="00BA08BE" w:rsidRDefault="00BA08BE" w:rsidP="00BA08BE">
      <w:pPr>
        <w:pStyle w:val="Paragraph"/>
        <w:spacing w:after="60"/>
        <w:ind w:right="-284"/>
        <w:jc w:val="left"/>
        <w:rPr>
          <w:rFonts w:ascii="Gill Sans MT" w:hAnsi="Gill Sans MT" w:cs="Arial"/>
          <w:sz w:val="24"/>
          <w:szCs w:val="24"/>
        </w:rPr>
      </w:pPr>
      <w:r w:rsidRPr="00E70B67">
        <w:rPr>
          <w:rFonts w:ascii="Gill Sans MT" w:hAnsi="Gill Sans MT" w:cs="Arial"/>
          <w:sz w:val="24"/>
          <w:szCs w:val="24"/>
          <w:u w:val="single"/>
        </w:rPr>
        <w:t>Section 42</w:t>
      </w:r>
      <w:r w:rsidRPr="00E70B67">
        <w:rPr>
          <w:rFonts w:ascii="Gill Sans MT" w:hAnsi="Gill Sans MT" w:cs="Arial"/>
          <w:sz w:val="24"/>
          <w:szCs w:val="24"/>
        </w:rPr>
        <w:t xml:space="preserve">: Pursuant to s42 of the </w:t>
      </w:r>
      <w:r w:rsidRPr="00E70B67">
        <w:rPr>
          <w:rFonts w:ascii="Gill Sans MT" w:hAnsi="Gill Sans MT" w:cs="Arial"/>
          <w:i/>
          <w:sz w:val="24"/>
          <w:szCs w:val="24"/>
        </w:rPr>
        <w:t>Corrections Act 1997</w:t>
      </w:r>
      <w:r w:rsidRPr="00E70B67">
        <w:rPr>
          <w:rFonts w:ascii="Gill Sans MT" w:hAnsi="Gill Sans MT" w:cs="Arial"/>
          <w:sz w:val="24"/>
          <w:szCs w:val="24"/>
        </w:rPr>
        <w:t xml:space="preserve">, the Director may grant a leave permit to a prisoner or detainee authorising a prisoner or detainee to be absent from a prison for one of the purposes in </w:t>
      </w:r>
      <w:proofErr w:type="gramStart"/>
      <w:r w:rsidRPr="00E70B67">
        <w:rPr>
          <w:rFonts w:ascii="Gill Sans MT" w:hAnsi="Gill Sans MT" w:cs="Arial"/>
          <w:sz w:val="24"/>
          <w:szCs w:val="24"/>
        </w:rPr>
        <w:t>s42(</w:t>
      </w:r>
      <w:proofErr w:type="gramEnd"/>
      <w:r w:rsidRPr="00E70B67">
        <w:rPr>
          <w:rFonts w:ascii="Gill Sans MT" w:hAnsi="Gill Sans MT" w:cs="Arial"/>
          <w:sz w:val="24"/>
          <w:szCs w:val="24"/>
        </w:rPr>
        <w:t xml:space="preserve">1)(a)-(h). </w:t>
      </w:r>
    </w:p>
    <w:p w:rsidR="00BA08BE" w:rsidRDefault="00BA08BE" w:rsidP="00BA08BE">
      <w:pPr>
        <w:pStyle w:val="Paragraph"/>
        <w:spacing w:after="60"/>
        <w:ind w:right="-284"/>
        <w:jc w:val="left"/>
        <w:rPr>
          <w:rFonts w:ascii="Gill Sans MT" w:hAnsi="Gill Sans MT" w:cs="Arial"/>
          <w:sz w:val="24"/>
          <w:szCs w:val="24"/>
        </w:rPr>
      </w:pPr>
      <w:r w:rsidRPr="00E70B67">
        <w:rPr>
          <w:rFonts w:ascii="Gill Sans MT" w:hAnsi="Gill Sans MT" w:cs="Arial"/>
          <w:sz w:val="24"/>
          <w:szCs w:val="24"/>
        </w:rPr>
        <w:t>The intention of s42 leave is to promote pro-social behaviour, enhance or maintain links between prisoners, their families and the community, and reduce the risk of recidivism. For e</w:t>
      </w:r>
      <w:r>
        <w:rPr>
          <w:rFonts w:ascii="Gill Sans MT" w:hAnsi="Gill Sans MT" w:cs="Arial"/>
          <w:sz w:val="24"/>
          <w:szCs w:val="24"/>
        </w:rPr>
        <w:t>xample, s42 leave can apply to family r</w:t>
      </w:r>
      <w:r w:rsidRPr="00E70B67">
        <w:rPr>
          <w:rFonts w:ascii="Gill Sans MT" w:hAnsi="Gill Sans MT" w:cs="Arial"/>
          <w:sz w:val="24"/>
          <w:szCs w:val="24"/>
        </w:rPr>
        <w:t>esocialisation, attending the funeral of a near relative, attending training/educational courses and performing community work.</w:t>
      </w:r>
      <w:r w:rsidRPr="00AA24B6">
        <w:rPr>
          <w:rFonts w:ascii="Gill Sans MT" w:hAnsi="Gill Sans MT" w:cs="Arial"/>
          <w:sz w:val="24"/>
          <w:szCs w:val="24"/>
        </w:rPr>
        <w:t xml:space="preserve"> </w:t>
      </w:r>
    </w:p>
    <w:p w:rsidR="00BA08BE" w:rsidRDefault="00BA08BE" w:rsidP="00BA08BE">
      <w:pPr>
        <w:pStyle w:val="Paragraph"/>
        <w:spacing w:after="60"/>
        <w:ind w:right="-284"/>
        <w:jc w:val="left"/>
        <w:rPr>
          <w:rFonts w:ascii="Gill Sans MT" w:hAnsi="Gill Sans MT" w:cs="Arial"/>
          <w:sz w:val="24"/>
          <w:szCs w:val="24"/>
        </w:rPr>
      </w:pPr>
      <w:proofErr w:type="gramStart"/>
      <w:r>
        <w:rPr>
          <w:rFonts w:ascii="Gill Sans MT" w:hAnsi="Gill Sans MT" w:cs="Arial"/>
          <w:sz w:val="24"/>
          <w:szCs w:val="24"/>
        </w:rPr>
        <w:t>S.42(</w:t>
      </w:r>
      <w:proofErr w:type="gramEnd"/>
      <w:r>
        <w:rPr>
          <w:rFonts w:ascii="Gill Sans MT" w:hAnsi="Gill Sans MT" w:cs="Arial"/>
          <w:sz w:val="24"/>
          <w:szCs w:val="24"/>
        </w:rPr>
        <w:t xml:space="preserve">3)(a) and (b) provide that leave permits granted must specify the period during which a prisoner may be absent from the prison, and may include certain conditions. These conditions (as set out in </w:t>
      </w:r>
      <w:proofErr w:type="gramStart"/>
      <w:r>
        <w:rPr>
          <w:rFonts w:ascii="Gill Sans MT" w:hAnsi="Gill Sans MT" w:cs="Arial"/>
          <w:sz w:val="24"/>
          <w:szCs w:val="24"/>
        </w:rPr>
        <w:t>s.42(</w:t>
      </w:r>
      <w:proofErr w:type="gramEnd"/>
      <w:r>
        <w:rPr>
          <w:rFonts w:ascii="Gill Sans MT" w:hAnsi="Gill Sans MT" w:cs="Arial"/>
          <w:sz w:val="24"/>
          <w:szCs w:val="24"/>
        </w:rPr>
        <w:t xml:space="preserve">4)) could include a requirement that the prisoner is accompanied by a correctional officer, probation officer or other person authorised by the Director. </w:t>
      </w:r>
    </w:p>
    <w:p w:rsidR="00BA08BE" w:rsidRDefault="00BA08BE" w:rsidP="00BA08BE">
      <w:pPr>
        <w:pStyle w:val="Paragraph"/>
        <w:spacing w:after="60"/>
        <w:ind w:right="-284"/>
        <w:jc w:val="left"/>
        <w:rPr>
          <w:rFonts w:ascii="Gill Sans MT" w:hAnsi="Gill Sans MT" w:cs="Arial"/>
          <w:sz w:val="24"/>
          <w:szCs w:val="24"/>
        </w:rPr>
      </w:pPr>
      <w:r>
        <w:rPr>
          <w:rFonts w:ascii="Gill Sans MT" w:hAnsi="Gill Sans MT" w:cs="Arial"/>
          <w:sz w:val="24"/>
          <w:szCs w:val="24"/>
        </w:rPr>
        <w:t xml:space="preserve">In relation to s.42 leave, </w:t>
      </w:r>
      <w:r w:rsidRPr="00DC3E02">
        <w:rPr>
          <w:rFonts w:ascii="Gill Sans MT" w:hAnsi="Gill Sans MT" w:cs="Arial"/>
          <w:sz w:val="24"/>
          <w:szCs w:val="24"/>
        </w:rPr>
        <w:t xml:space="preserve">the duration of a leave permit </w:t>
      </w:r>
      <w:r>
        <w:rPr>
          <w:rFonts w:ascii="Gill Sans MT" w:hAnsi="Gill Sans MT" w:cs="Arial"/>
          <w:sz w:val="24"/>
          <w:szCs w:val="24"/>
        </w:rPr>
        <w:t>is</w:t>
      </w:r>
      <w:r w:rsidRPr="00DC3E02">
        <w:rPr>
          <w:rFonts w:ascii="Gill Sans MT" w:hAnsi="Gill Sans MT" w:cs="Arial"/>
          <w:sz w:val="24"/>
          <w:szCs w:val="24"/>
        </w:rPr>
        <w:t xml:space="preserve"> for the minimum amount of time necessary to achieve the purpose of the leave or complete the approved activity. </w:t>
      </w:r>
      <w:proofErr w:type="gramStart"/>
      <w:r w:rsidRPr="00DC3E02">
        <w:rPr>
          <w:rFonts w:ascii="Gill Sans MT" w:hAnsi="Gill Sans MT" w:cs="Arial"/>
          <w:sz w:val="24"/>
          <w:szCs w:val="24"/>
        </w:rPr>
        <w:t>A</w:t>
      </w:r>
      <w:proofErr w:type="gramEnd"/>
      <w:r w:rsidRPr="00DC3E02">
        <w:rPr>
          <w:rFonts w:ascii="Gill Sans MT" w:hAnsi="Gill Sans MT" w:cs="Arial"/>
          <w:sz w:val="24"/>
          <w:szCs w:val="24"/>
        </w:rPr>
        <w:t xml:space="preserve"> </w:t>
      </w:r>
      <w:r>
        <w:rPr>
          <w:rFonts w:ascii="Gill Sans MT" w:hAnsi="Gill Sans MT" w:cs="Arial"/>
          <w:sz w:val="24"/>
          <w:szCs w:val="24"/>
        </w:rPr>
        <w:t xml:space="preserve">s.42 </w:t>
      </w:r>
      <w:r w:rsidRPr="00DC3E02">
        <w:rPr>
          <w:rFonts w:ascii="Gill Sans MT" w:hAnsi="Gill Sans MT" w:cs="Arial"/>
          <w:sz w:val="24"/>
          <w:szCs w:val="24"/>
        </w:rPr>
        <w:t xml:space="preserve">leave permit may authorise an unlimited number of leave absences, but no one leave absence </w:t>
      </w:r>
      <w:r>
        <w:rPr>
          <w:rFonts w:ascii="Gill Sans MT" w:hAnsi="Gill Sans MT" w:cs="Arial"/>
          <w:sz w:val="24"/>
          <w:szCs w:val="24"/>
        </w:rPr>
        <w:t>may</w:t>
      </w:r>
      <w:r w:rsidRPr="00DC3E02">
        <w:rPr>
          <w:rFonts w:ascii="Gill Sans MT" w:hAnsi="Gill Sans MT" w:cs="Arial"/>
          <w:sz w:val="24"/>
          <w:szCs w:val="24"/>
        </w:rPr>
        <w:t xml:space="preserve"> exceed 72 hours.</w:t>
      </w:r>
    </w:p>
    <w:p w:rsidR="00BA08BE" w:rsidRDefault="00BA08BE" w:rsidP="00BA08BE">
      <w:pPr>
        <w:pStyle w:val="Paragraph"/>
        <w:spacing w:after="60"/>
        <w:ind w:right="-284"/>
        <w:jc w:val="left"/>
        <w:rPr>
          <w:rFonts w:ascii="Gill Sans MT" w:hAnsi="Gill Sans MT" w:cs="Arial"/>
          <w:sz w:val="24"/>
          <w:szCs w:val="24"/>
        </w:rPr>
      </w:pPr>
      <w:r>
        <w:rPr>
          <w:rFonts w:ascii="Gill Sans MT" w:hAnsi="Gill Sans MT" w:cs="Arial"/>
          <w:sz w:val="24"/>
          <w:szCs w:val="24"/>
        </w:rPr>
        <w:t>A</w:t>
      </w:r>
      <w:r w:rsidRPr="004D097A">
        <w:rPr>
          <w:rFonts w:ascii="Gill Sans MT" w:hAnsi="Gill Sans MT" w:cs="Arial"/>
          <w:sz w:val="24"/>
          <w:szCs w:val="24"/>
        </w:rPr>
        <w:t xml:space="preserve"> leave permit</w:t>
      </w:r>
      <w:r>
        <w:rPr>
          <w:rFonts w:ascii="Gill Sans MT" w:hAnsi="Gill Sans MT" w:cs="Arial"/>
          <w:sz w:val="24"/>
          <w:szCs w:val="24"/>
        </w:rPr>
        <w:t>:</w:t>
      </w:r>
      <w:r w:rsidRPr="004D097A">
        <w:rPr>
          <w:rFonts w:ascii="Gill Sans MT" w:hAnsi="Gill Sans MT" w:cs="Arial"/>
          <w:sz w:val="24"/>
          <w:szCs w:val="24"/>
        </w:rPr>
        <w:t xml:space="preserve"> </w:t>
      </w:r>
    </w:p>
    <w:p w:rsidR="00BA08BE" w:rsidRPr="004D097A" w:rsidRDefault="00BA08BE" w:rsidP="00BA08BE">
      <w:pPr>
        <w:pStyle w:val="Paragraph"/>
        <w:numPr>
          <w:ilvl w:val="0"/>
          <w:numId w:val="3"/>
        </w:numPr>
        <w:spacing w:after="60"/>
        <w:ind w:right="-284"/>
        <w:jc w:val="left"/>
        <w:rPr>
          <w:rFonts w:ascii="Gill Sans MT" w:hAnsi="Gill Sans MT" w:cs="Arial"/>
          <w:sz w:val="24"/>
          <w:szCs w:val="24"/>
        </w:rPr>
      </w:pPr>
      <w:r w:rsidRPr="004D097A">
        <w:rPr>
          <w:rFonts w:ascii="Gill Sans MT" w:hAnsi="Gill Sans MT" w:cs="Arial"/>
          <w:sz w:val="24"/>
          <w:szCs w:val="24"/>
        </w:rPr>
        <w:t>is a written authority permitting a prisoner or detainee to be absent from a prison</w:t>
      </w:r>
      <w:r>
        <w:rPr>
          <w:rFonts w:ascii="Gill Sans MT" w:hAnsi="Gill Sans MT" w:cs="Arial"/>
          <w:sz w:val="24"/>
          <w:szCs w:val="24"/>
        </w:rPr>
        <w:t xml:space="preserve"> for a specified period of time</w:t>
      </w:r>
    </w:p>
    <w:p w:rsidR="00BA08BE" w:rsidRPr="004D097A" w:rsidRDefault="00BA08BE" w:rsidP="00BA08BE">
      <w:pPr>
        <w:pStyle w:val="Paragraph"/>
        <w:numPr>
          <w:ilvl w:val="0"/>
          <w:numId w:val="3"/>
        </w:numPr>
        <w:spacing w:after="60"/>
        <w:ind w:right="-284"/>
        <w:jc w:val="left"/>
        <w:rPr>
          <w:rFonts w:ascii="Gill Sans MT" w:hAnsi="Gill Sans MT" w:cs="Arial"/>
          <w:sz w:val="24"/>
          <w:szCs w:val="24"/>
        </w:rPr>
      </w:pPr>
      <w:r w:rsidRPr="004D097A">
        <w:rPr>
          <w:rFonts w:ascii="Gill Sans MT" w:hAnsi="Gill Sans MT" w:cs="Arial"/>
          <w:sz w:val="24"/>
          <w:szCs w:val="24"/>
        </w:rPr>
        <w:t>may be issued for one or more occasi</w:t>
      </w:r>
      <w:r>
        <w:rPr>
          <w:rFonts w:ascii="Gill Sans MT" w:hAnsi="Gill Sans MT" w:cs="Arial"/>
          <w:sz w:val="24"/>
          <w:szCs w:val="24"/>
        </w:rPr>
        <w:t>ons and for one or more purpose</w:t>
      </w:r>
    </w:p>
    <w:p w:rsidR="00BA08BE" w:rsidRPr="004D097A" w:rsidRDefault="00BA08BE" w:rsidP="00BA08BE">
      <w:pPr>
        <w:pStyle w:val="Paragraph"/>
        <w:numPr>
          <w:ilvl w:val="0"/>
          <w:numId w:val="3"/>
        </w:numPr>
        <w:spacing w:after="60"/>
        <w:ind w:right="-284"/>
        <w:jc w:val="left"/>
        <w:rPr>
          <w:rFonts w:ascii="Gill Sans MT" w:hAnsi="Gill Sans MT" w:cs="Arial"/>
          <w:sz w:val="24"/>
          <w:szCs w:val="24"/>
        </w:rPr>
      </w:pPr>
      <w:r w:rsidRPr="004D097A">
        <w:rPr>
          <w:rFonts w:ascii="Gill Sans MT" w:hAnsi="Gill Sans MT" w:cs="Arial"/>
          <w:sz w:val="24"/>
          <w:szCs w:val="24"/>
        </w:rPr>
        <w:t>may authorise an unlimited number of leave absences, but no one leave absence is to exc</w:t>
      </w:r>
      <w:r>
        <w:rPr>
          <w:rFonts w:ascii="Gill Sans MT" w:hAnsi="Gill Sans MT" w:cs="Arial"/>
          <w:sz w:val="24"/>
          <w:szCs w:val="24"/>
        </w:rPr>
        <w:t>eed 72 hours</w:t>
      </w:r>
    </w:p>
    <w:p w:rsidR="00BA08BE" w:rsidRPr="004D097A" w:rsidRDefault="00BA08BE" w:rsidP="00BA08BE">
      <w:pPr>
        <w:pStyle w:val="Paragraph"/>
        <w:numPr>
          <w:ilvl w:val="0"/>
          <w:numId w:val="3"/>
        </w:numPr>
        <w:spacing w:after="60"/>
        <w:ind w:right="-284"/>
        <w:jc w:val="left"/>
        <w:rPr>
          <w:rFonts w:ascii="Gill Sans MT" w:hAnsi="Gill Sans MT" w:cs="Arial"/>
          <w:sz w:val="24"/>
          <w:szCs w:val="24"/>
        </w:rPr>
      </w:pPr>
      <w:proofErr w:type="gramStart"/>
      <w:r w:rsidRPr="004D097A">
        <w:rPr>
          <w:rFonts w:ascii="Gill Sans MT" w:hAnsi="Gill Sans MT" w:cs="Arial"/>
          <w:sz w:val="24"/>
          <w:szCs w:val="24"/>
        </w:rPr>
        <w:t>will</w:t>
      </w:r>
      <w:proofErr w:type="gramEnd"/>
      <w:r w:rsidRPr="004D097A">
        <w:rPr>
          <w:rFonts w:ascii="Gill Sans MT" w:hAnsi="Gill Sans MT" w:cs="Arial"/>
          <w:sz w:val="24"/>
          <w:szCs w:val="24"/>
        </w:rPr>
        <w:t xml:space="preserve"> not normally be issued during extended public holiday periods such as Easter, Christmas and the New Year.</w:t>
      </w:r>
    </w:p>
    <w:p w:rsidR="00BA08BE" w:rsidRPr="004D097A" w:rsidRDefault="00BA08BE" w:rsidP="00BA08BE">
      <w:pPr>
        <w:pStyle w:val="Paragraph"/>
        <w:spacing w:after="60"/>
        <w:ind w:right="-284"/>
        <w:jc w:val="left"/>
        <w:rPr>
          <w:rFonts w:ascii="Gill Sans MT" w:hAnsi="Gill Sans MT" w:cs="Arial"/>
          <w:sz w:val="24"/>
          <w:szCs w:val="24"/>
        </w:rPr>
      </w:pPr>
      <w:r w:rsidRPr="004D097A">
        <w:rPr>
          <w:rFonts w:ascii="Gill Sans MT" w:hAnsi="Gill Sans MT" w:cs="Arial"/>
          <w:sz w:val="24"/>
          <w:szCs w:val="24"/>
        </w:rPr>
        <w:t>The duration of a leave permit will be for the minimum amount of time necessary to achieve the purpose of the leave or to complete the approved activity.</w:t>
      </w:r>
    </w:p>
    <w:p w:rsidR="009552D9" w:rsidRDefault="009552D9" w:rsidP="009552D9">
      <w:pPr>
        <w:overflowPunct/>
        <w:autoSpaceDE/>
        <w:autoSpaceDN/>
        <w:adjustRightInd/>
        <w:textAlignment w:val="auto"/>
        <w:rPr>
          <w:rFonts w:ascii="Gill Sans MT" w:hAnsi="Gill Sans MT"/>
          <w:sz w:val="24"/>
          <w:szCs w:val="24"/>
        </w:rPr>
      </w:pPr>
    </w:p>
    <w:p w:rsidR="00BA08BE" w:rsidRDefault="009552D9" w:rsidP="009552D9">
      <w:pPr>
        <w:overflowPunct/>
        <w:autoSpaceDE/>
        <w:autoSpaceDN/>
        <w:adjustRightInd/>
        <w:textAlignment w:val="auto"/>
        <w:rPr>
          <w:rFonts w:ascii="Gill Sans MT" w:hAnsi="Gill Sans MT"/>
          <w:sz w:val="24"/>
          <w:szCs w:val="24"/>
        </w:rPr>
      </w:pPr>
      <w:r>
        <w:rPr>
          <w:rFonts w:ascii="Gill Sans MT" w:hAnsi="Gill Sans MT"/>
          <w:sz w:val="24"/>
          <w:szCs w:val="24"/>
        </w:rPr>
        <w:t xml:space="preserve">In the 2017-18 financial year, </w:t>
      </w:r>
      <w:r w:rsidR="00BA08BE" w:rsidRPr="009544A0">
        <w:rPr>
          <w:rFonts w:ascii="Gill Sans MT" w:hAnsi="Gill Sans MT"/>
          <w:sz w:val="24"/>
          <w:szCs w:val="24"/>
        </w:rPr>
        <w:t xml:space="preserve">32 prisoners were absent from prison pursuant to s.41 and 79 prisoners </w:t>
      </w:r>
      <w:r w:rsidR="00BA08BE">
        <w:rPr>
          <w:rFonts w:ascii="Gill Sans MT" w:hAnsi="Gill Sans MT"/>
          <w:sz w:val="24"/>
          <w:szCs w:val="24"/>
        </w:rPr>
        <w:t xml:space="preserve">were granted leave </w:t>
      </w:r>
      <w:r w:rsidR="00BA08BE" w:rsidRPr="009544A0">
        <w:rPr>
          <w:rFonts w:ascii="Gill Sans MT" w:hAnsi="Gill Sans MT"/>
          <w:sz w:val="24"/>
          <w:szCs w:val="24"/>
        </w:rPr>
        <w:t xml:space="preserve">pursuant to s.42.  </w:t>
      </w:r>
      <w:bookmarkStart w:id="0" w:name="_GoBack"/>
      <w:bookmarkEnd w:id="0"/>
    </w:p>
    <w:p w:rsidR="00BA08BE" w:rsidRPr="009544A0" w:rsidRDefault="00BA08BE" w:rsidP="00BA08BE">
      <w:pPr>
        <w:overflowPunct/>
        <w:autoSpaceDE/>
        <w:autoSpaceDN/>
        <w:adjustRightInd/>
        <w:ind w:left="1080"/>
        <w:textAlignment w:val="auto"/>
        <w:rPr>
          <w:rFonts w:ascii="Gill Sans MT" w:hAnsi="Gill Sans MT"/>
          <w:i/>
          <w:iCs/>
          <w:sz w:val="24"/>
          <w:szCs w:val="24"/>
        </w:rPr>
      </w:pPr>
    </w:p>
    <w:p w:rsidR="00BA08BE" w:rsidRDefault="00BA08BE" w:rsidP="009552D9">
      <w:pPr>
        <w:overflowPunct/>
        <w:autoSpaceDE/>
        <w:autoSpaceDN/>
        <w:adjustRightInd/>
        <w:textAlignment w:val="auto"/>
        <w:rPr>
          <w:rFonts w:ascii="Gill Sans MT" w:hAnsi="Gill Sans MT"/>
          <w:sz w:val="24"/>
          <w:szCs w:val="24"/>
        </w:rPr>
      </w:pPr>
      <w:r w:rsidRPr="009544A0">
        <w:rPr>
          <w:rFonts w:ascii="Gill Sans MT" w:hAnsi="Gill Sans MT"/>
          <w:sz w:val="24"/>
          <w:szCs w:val="24"/>
        </w:rPr>
        <w:t xml:space="preserve">Information regarding the classification of prisoners at the time of being granted leave is not held. Classification information on prison systems relates to a prisoner’s current classification. </w:t>
      </w:r>
    </w:p>
    <w:p w:rsidR="00BA08BE" w:rsidRPr="009544A0" w:rsidRDefault="00BA08BE" w:rsidP="00BA08BE">
      <w:pPr>
        <w:overflowPunct/>
        <w:autoSpaceDE/>
        <w:autoSpaceDN/>
        <w:adjustRightInd/>
        <w:ind w:left="1080"/>
        <w:textAlignment w:val="auto"/>
        <w:rPr>
          <w:rFonts w:ascii="Gill Sans MT" w:hAnsi="Gill Sans MT"/>
          <w:sz w:val="24"/>
          <w:szCs w:val="24"/>
        </w:rPr>
      </w:pPr>
    </w:p>
    <w:p w:rsidR="00BA08BE" w:rsidRDefault="00BA08BE" w:rsidP="009552D9">
      <w:pPr>
        <w:overflowPunct/>
        <w:autoSpaceDE/>
        <w:autoSpaceDN/>
        <w:adjustRightInd/>
        <w:textAlignment w:val="auto"/>
        <w:rPr>
          <w:rFonts w:ascii="Gill Sans MT" w:hAnsi="Gill Sans MT"/>
          <w:sz w:val="24"/>
          <w:szCs w:val="24"/>
        </w:rPr>
      </w:pPr>
      <w:r w:rsidRPr="009544A0">
        <w:rPr>
          <w:rFonts w:ascii="Gill Sans MT" w:hAnsi="Gill Sans MT"/>
          <w:sz w:val="24"/>
          <w:szCs w:val="24"/>
        </w:rPr>
        <w:t xml:space="preserve">Because of the large number of instances of leave and authorised absences (as set out below) it is not possible to determine the reasons for leave being granted in each case. </w:t>
      </w:r>
    </w:p>
    <w:p w:rsidR="00BA08BE" w:rsidRPr="009544A0" w:rsidRDefault="00BA08BE" w:rsidP="00BA08BE">
      <w:pPr>
        <w:overflowPunct/>
        <w:autoSpaceDE/>
        <w:autoSpaceDN/>
        <w:adjustRightInd/>
        <w:ind w:left="1080"/>
        <w:textAlignment w:val="auto"/>
        <w:rPr>
          <w:rFonts w:ascii="Gill Sans MT" w:hAnsi="Gill Sans MT"/>
          <w:sz w:val="24"/>
          <w:szCs w:val="24"/>
        </w:rPr>
      </w:pPr>
    </w:p>
    <w:p w:rsidR="00BA08BE" w:rsidRDefault="00BA08BE" w:rsidP="00BA08BE">
      <w:pPr>
        <w:overflowPunct/>
        <w:autoSpaceDE/>
        <w:autoSpaceDN/>
        <w:adjustRightInd/>
        <w:ind w:left="1080"/>
        <w:textAlignment w:val="auto"/>
        <w:rPr>
          <w:rFonts w:ascii="Gill Sans MT" w:hAnsi="Gill Sans MT"/>
          <w:sz w:val="24"/>
          <w:szCs w:val="24"/>
        </w:rPr>
      </w:pPr>
      <w:r>
        <w:rPr>
          <w:rFonts w:ascii="Gill Sans MT" w:hAnsi="Gill Sans MT"/>
          <w:sz w:val="24"/>
          <w:szCs w:val="24"/>
        </w:rPr>
        <w:t>T</w:t>
      </w:r>
      <w:r w:rsidRPr="009544A0">
        <w:rPr>
          <w:rFonts w:ascii="Gill Sans MT" w:hAnsi="Gill Sans MT"/>
          <w:sz w:val="24"/>
          <w:szCs w:val="24"/>
        </w:rPr>
        <w:t>he number of leave absences</w:t>
      </w:r>
      <w:r>
        <w:rPr>
          <w:rStyle w:val="FootnoteReference"/>
          <w:rFonts w:ascii="Gill Sans MT" w:hAnsi="Gill Sans MT"/>
          <w:sz w:val="24"/>
          <w:szCs w:val="24"/>
        </w:rPr>
        <w:footnoteReference w:id="1"/>
      </w:r>
      <w:r w:rsidRPr="009544A0">
        <w:rPr>
          <w:rFonts w:ascii="Gill Sans MT" w:hAnsi="Gill Sans MT"/>
          <w:sz w:val="24"/>
          <w:szCs w:val="24"/>
        </w:rPr>
        <w:t xml:space="preserve"> granted for each reason is as follows: </w:t>
      </w:r>
    </w:p>
    <w:p w:rsidR="00BA08BE" w:rsidRPr="00C47200" w:rsidRDefault="00BA08BE" w:rsidP="00BA08BE">
      <w:pPr>
        <w:pStyle w:val="ListParagraph"/>
        <w:numPr>
          <w:ilvl w:val="1"/>
          <w:numId w:val="2"/>
        </w:numPr>
        <w:overflowPunct/>
        <w:autoSpaceDE/>
        <w:autoSpaceDN/>
        <w:adjustRightInd/>
        <w:contextualSpacing w:val="0"/>
        <w:textAlignment w:val="auto"/>
        <w:rPr>
          <w:rFonts w:ascii="Gill Sans MT" w:hAnsi="Gill Sans MT"/>
          <w:sz w:val="24"/>
          <w:szCs w:val="24"/>
        </w:rPr>
      </w:pPr>
      <w:r>
        <w:rPr>
          <w:rFonts w:ascii="Gill Sans MT" w:hAnsi="Gill Sans MT"/>
          <w:sz w:val="24"/>
          <w:szCs w:val="24"/>
        </w:rPr>
        <w:t xml:space="preserve">Cultural: </w:t>
      </w:r>
      <w:r>
        <w:rPr>
          <w:rFonts w:ascii="Gill Sans MT" w:hAnsi="Gill Sans MT"/>
          <w:sz w:val="24"/>
          <w:szCs w:val="24"/>
        </w:rPr>
        <w:tab/>
      </w:r>
      <w:r>
        <w:rPr>
          <w:rFonts w:ascii="Gill Sans MT" w:hAnsi="Gill Sans MT"/>
          <w:sz w:val="24"/>
          <w:szCs w:val="24"/>
        </w:rPr>
        <w:tab/>
      </w:r>
      <w:r>
        <w:rPr>
          <w:rFonts w:ascii="Gill Sans MT" w:hAnsi="Gill Sans MT"/>
          <w:sz w:val="24"/>
          <w:szCs w:val="24"/>
        </w:rPr>
        <w:tab/>
        <w:t>19</w:t>
      </w:r>
    </w:p>
    <w:p w:rsidR="00BA08BE" w:rsidRPr="009544A0" w:rsidRDefault="00BA08BE" w:rsidP="00BA08BE">
      <w:pPr>
        <w:pStyle w:val="ListParagraph"/>
        <w:numPr>
          <w:ilvl w:val="1"/>
          <w:numId w:val="2"/>
        </w:numPr>
        <w:rPr>
          <w:rFonts w:ascii="Gill Sans MT" w:hAnsi="Gill Sans MT"/>
          <w:sz w:val="24"/>
          <w:szCs w:val="24"/>
        </w:rPr>
      </w:pPr>
      <w:r w:rsidRPr="009544A0">
        <w:rPr>
          <w:rFonts w:ascii="Gill Sans MT" w:hAnsi="Gill Sans MT"/>
          <w:sz w:val="24"/>
          <w:szCs w:val="24"/>
        </w:rPr>
        <w:t xml:space="preserve">Family re-socialisation:         </w:t>
      </w:r>
      <w:r>
        <w:rPr>
          <w:rFonts w:ascii="Gill Sans MT" w:hAnsi="Gill Sans MT"/>
          <w:sz w:val="24"/>
          <w:szCs w:val="24"/>
        </w:rPr>
        <w:tab/>
      </w:r>
      <w:r w:rsidRPr="009544A0">
        <w:rPr>
          <w:rFonts w:ascii="Gill Sans MT" w:hAnsi="Gill Sans MT"/>
          <w:sz w:val="24"/>
          <w:szCs w:val="24"/>
        </w:rPr>
        <w:t>285</w:t>
      </w:r>
    </w:p>
    <w:p w:rsidR="00BA08BE" w:rsidRPr="009544A0" w:rsidRDefault="00BA08BE" w:rsidP="00BA08BE">
      <w:pPr>
        <w:pStyle w:val="ListParagraph"/>
        <w:numPr>
          <w:ilvl w:val="1"/>
          <w:numId w:val="2"/>
        </w:numPr>
        <w:rPr>
          <w:rFonts w:ascii="Gill Sans MT" w:hAnsi="Gill Sans MT"/>
          <w:sz w:val="24"/>
          <w:szCs w:val="24"/>
        </w:rPr>
      </w:pPr>
      <w:r w:rsidRPr="009544A0">
        <w:rPr>
          <w:rFonts w:ascii="Gill Sans MT" w:hAnsi="Gill Sans MT"/>
          <w:sz w:val="24"/>
          <w:szCs w:val="24"/>
        </w:rPr>
        <w:t xml:space="preserve">Education:                          </w:t>
      </w:r>
      <w:r>
        <w:rPr>
          <w:rFonts w:ascii="Gill Sans MT" w:hAnsi="Gill Sans MT"/>
          <w:sz w:val="24"/>
          <w:szCs w:val="24"/>
        </w:rPr>
        <w:tab/>
      </w:r>
      <w:r w:rsidRPr="009544A0">
        <w:rPr>
          <w:rFonts w:ascii="Gill Sans MT" w:hAnsi="Gill Sans MT"/>
          <w:sz w:val="24"/>
          <w:szCs w:val="24"/>
        </w:rPr>
        <w:t>1 781</w:t>
      </w:r>
    </w:p>
    <w:p w:rsidR="00BA08BE" w:rsidRPr="009544A0" w:rsidRDefault="00BA08BE" w:rsidP="00BA08BE">
      <w:pPr>
        <w:pStyle w:val="ListParagraph"/>
        <w:numPr>
          <w:ilvl w:val="1"/>
          <w:numId w:val="2"/>
        </w:numPr>
        <w:rPr>
          <w:rFonts w:ascii="Gill Sans MT" w:hAnsi="Gill Sans MT"/>
          <w:sz w:val="24"/>
          <w:szCs w:val="24"/>
        </w:rPr>
      </w:pPr>
      <w:r w:rsidRPr="009544A0">
        <w:rPr>
          <w:rFonts w:ascii="Gill Sans MT" w:hAnsi="Gill Sans MT"/>
          <w:sz w:val="24"/>
          <w:szCs w:val="24"/>
        </w:rPr>
        <w:t xml:space="preserve">Funeral/serious illness:         </w:t>
      </w:r>
      <w:r>
        <w:rPr>
          <w:rFonts w:ascii="Gill Sans MT" w:hAnsi="Gill Sans MT"/>
          <w:sz w:val="24"/>
          <w:szCs w:val="24"/>
        </w:rPr>
        <w:tab/>
      </w:r>
      <w:r w:rsidRPr="009544A0">
        <w:rPr>
          <w:rFonts w:ascii="Gill Sans MT" w:hAnsi="Gill Sans MT"/>
          <w:sz w:val="24"/>
          <w:szCs w:val="24"/>
        </w:rPr>
        <w:t>60</w:t>
      </w:r>
    </w:p>
    <w:p w:rsidR="00BA08BE" w:rsidRDefault="00BA08BE" w:rsidP="00BA08BE">
      <w:pPr>
        <w:pStyle w:val="ListParagraph"/>
        <w:numPr>
          <w:ilvl w:val="1"/>
          <w:numId w:val="2"/>
        </w:numPr>
        <w:rPr>
          <w:rFonts w:ascii="Gill Sans MT" w:hAnsi="Gill Sans MT"/>
          <w:sz w:val="24"/>
          <w:szCs w:val="24"/>
        </w:rPr>
      </w:pPr>
      <w:r w:rsidRPr="009544A0">
        <w:rPr>
          <w:rFonts w:ascii="Gill Sans MT" w:hAnsi="Gill Sans MT"/>
          <w:sz w:val="24"/>
          <w:szCs w:val="24"/>
        </w:rPr>
        <w:t xml:space="preserve">Work release – community: </w:t>
      </w:r>
      <w:r>
        <w:rPr>
          <w:rFonts w:ascii="Gill Sans MT" w:hAnsi="Gill Sans MT"/>
          <w:sz w:val="24"/>
          <w:szCs w:val="24"/>
        </w:rPr>
        <w:tab/>
      </w:r>
      <w:r w:rsidRPr="009544A0">
        <w:rPr>
          <w:rFonts w:ascii="Gill Sans MT" w:hAnsi="Gill Sans MT"/>
          <w:sz w:val="24"/>
          <w:szCs w:val="24"/>
        </w:rPr>
        <w:t>5 776</w:t>
      </w:r>
    </w:p>
    <w:p w:rsidR="00BA08BE" w:rsidRDefault="00BA08BE" w:rsidP="00BA08BE">
      <w:pPr>
        <w:pStyle w:val="ListParagraph"/>
        <w:ind w:left="2160"/>
        <w:rPr>
          <w:rFonts w:ascii="Gill Sans MT" w:hAnsi="Gill Sans MT"/>
          <w:sz w:val="24"/>
          <w:szCs w:val="24"/>
        </w:rPr>
      </w:pPr>
    </w:p>
    <w:p w:rsidR="002C7244" w:rsidRDefault="002C7244"/>
    <w:sectPr w:rsidR="002C72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28" w:rsidRDefault="009F3228" w:rsidP="00BA08BE">
      <w:r>
        <w:separator/>
      </w:r>
    </w:p>
  </w:endnote>
  <w:endnote w:type="continuationSeparator" w:id="0">
    <w:p w:rsidR="009F3228" w:rsidRDefault="009F3228" w:rsidP="00BA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28" w:rsidRDefault="009F3228" w:rsidP="00BA08BE">
      <w:r>
        <w:separator/>
      </w:r>
    </w:p>
  </w:footnote>
  <w:footnote w:type="continuationSeparator" w:id="0">
    <w:p w:rsidR="009F3228" w:rsidRDefault="009F3228" w:rsidP="00BA08BE">
      <w:r>
        <w:continuationSeparator/>
      </w:r>
    </w:p>
  </w:footnote>
  <w:footnote w:id="1">
    <w:p w:rsidR="00BA08BE" w:rsidRDefault="00BA08BE" w:rsidP="00BA08BE">
      <w:pPr>
        <w:pStyle w:val="FootnoteText"/>
      </w:pPr>
      <w:r>
        <w:rPr>
          <w:rStyle w:val="FootnoteReference"/>
        </w:rPr>
        <w:footnoteRef/>
      </w:r>
      <w:r>
        <w:t xml:space="preserve"> </w:t>
      </w:r>
      <w:r w:rsidRPr="009544A0">
        <w:rPr>
          <w:rFonts w:ascii="Gill Sans MT" w:hAnsi="Gill Sans MT"/>
          <w:sz w:val="16"/>
          <w:szCs w:val="16"/>
        </w:rPr>
        <w:t>Figures relating to the number of leave absences do not reflect the number of leave permits issued, as a leave permit may authorise multiple absences.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33D1"/>
    <w:multiLevelType w:val="hybridMultilevel"/>
    <w:tmpl w:val="C0BEC1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7665EEF"/>
    <w:multiLevelType w:val="hybridMultilevel"/>
    <w:tmpl w:val="92A8C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EF1BEE"/>
    <w:multiLevelType w:val="hybridMultilevel"/>
    <w:tmpl w:val="9CFA9A3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BE"/>
    <w:rsid w:val="002C7244"/>
    <w:rsid w:val="00586422"/>
    <w:rsid w:val="00617B5F"/>
    <w:rsid w:val="006B70CF"/>
    <w:rsid w:val="008D7BF7"/>
    <w:rsid w:val="009552D9"/>
    <w:rsid w:val="009D46B1"/>
    <w:rsid w:val="009F3228"/>
    <w:rsid w:val="00B2509E"/>
    <w:rsid w:val="00BA08BE"/>
    <w:rsid w:val="00BD77A6"/>
    <w:rsid w:val="00F53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0176"/>
  <w15:chartTrackingRefBased/>
  <w15:docId w15:val="{1F8D4FB9-462D-4054-B7D1-BF1B6751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BE"/>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08BE"/>
    <w:pPr>
      <w:overflowPunct/>
      <w:autoSpaceDE/>
      <w:autoSpaceDN/>
      <w:adjustRightInd/>
      <w:spacing w:before="200" w:after="200"/>
      <w:jc w:val="both"/>
      <w:textAlignment w:val="auto"/>
    </w:pPr>
    <w:rPr>
      <w:rFonts w:ascii="Times New Roman" w:hAnsi="Times New Roman"/>
    </w:rPr>
  </w:style>
  <w:style w:type="paragraph" w:styleId="ListParagraph">
    <w:name w:val="List Paragraph"/>
    <w:basedOn w:val="Normal"/>
    <w:uiPriority w:val="34"/>
    <w:qFormat/>
    <w:rsid w:val="00BA08BE"/>
    <w:pPr>
      <w:ind w:left="720"/>
      <w:contextualSpacing/>
    </w:pPr>
  </w:style>
  <w:style w:type="paragraph" w:styleId="FootnoteText">
    <w:name w:val="footnote text"/>
    <w:basedOn w:val="Normal"/>
    <w:link w:val="FootnoteTextChar"/>
    <w:rsid w:val="00BA08BE"/>
    <w:rPr>
      <w:sz w:val="20"/>
    </w:rPr>
  </w:style>
  <w:style w:type="character" w:customStyle="1" w:styleId="FootnoteTextChar">
    <w:name w:val="Footnote Text Char"/>
    <w:basedOn w:val="DefaultParagraphFont"/>
    <w:link w:val="FootnoteText"/>
    <w:rsid w:val="00BA08BE"/>
    <w:rPr>
      <w:rFonts w:ascii="Arial" w:eastAsia="Times New Roman" w:hAnsi="Arial" w:cs="Times New Roman"/>
      <w:sz w:val="20"/>
      <w:szCs w:val="20"/>
    </w:rPr>
  </w:style>
  <w:style w:type="character" w:styleId="FootnoteReference">
    <w:name w:val="footnote reference"/>
    <w:basedOn w:val="DefaultParagraphFont"/>
    <w:rsid w:val="00BA0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Julia</dc:creator>
  <cp:keywords/>
  <dc:description/>
  <cp:lastModifiedBy>Hickey, Julia</cp:lastModifiedBy>
  <cp:revision>2</cp:revision>
  <dcterms:created xsi:type="dcterms:W3CDTF">2018-07-27T00:48:00Z</dcterms:created>
  <dcterms:modified xsi:type="dcterms:W3CDTF">2018-07-27T00:50:00Z</dcterms:modified>
</cp:coreProperties>
</file>