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7360568"/>
    <w:p w:rsidR="00B7505C" w:rsidRPr="00B7505C" w:rsidRDefault="00BF3B9D" w:rsidP="00BF3B9D">
      <w:pPr>
        <w:rPr>
          <w:sz w:val="28"/>
        </w:rPr>
      </w:pPr>
      <w:r w:rsidRPr="00B7505C">
        <w:rPr>
          <w:noProof/>
          <w:color w:val="1F818E"/>
          <w:sz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241300</wp:posOffset>
                </wp:positionV>
                <wp:extent cx="4832350" cy="13182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2350" cy="1318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74175" w:rsidRDefault="00D74175" w:rsidP="001C6519">
                            <w:pPr>
                              <w:pStyle w:val="Subtitle"/>
                              <w:spacing w:before="0"/>
                            </w:pPr>
                            <w:r>
                              <w:t>INFOSHEET</w:t>
                            </w:r>
                          </w:p>
                          <w:p w:rsidR="00D74175" w:rsidRPr="005F4930" w:rsidRDefault="005F4930" w:rsidP="005F4930">
                            <w:pPr>
                              <w:pStyle w:val="Title"/>
                              <w:rPr>
                                <w:sz w:val="36"/>
                              </w:rPr>
                            </w:pPr>
                            <w:r w:rsidRPr="005F4930">
                              <w:rPr>
                                <w:b/>
                                <w:sz w:val="52"/>
                                <w:szCs w:val="60"/>
                              </w:rPr>
                              <w:t xml:space="preserve">Review of </w:t>
                            </w:r>
                            <w:r>
                              <w:rPr>
                                <w:b/>
                                <w:sz w:val="52"/>
                                <w:szCs w:val="60"/>
                              </w:rPr>
                              <w:t xml:space="preserve">Tasmania’s </w:t>
                            </w:r>
                            <w:r w:rsidRPr="005F4930">
                              <w:rPr>
                                <w:b/>
                                <w:sz w:val="52"/>
                                <w:szCs w:val="60"/>
                              </w:rPr>
                              <w:t xml:space="preserve">Explosives Regulations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pt;width:380.5pt;height:103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" filled="f" stroked="f" strokeweight=".5pt">
                <v:textbox>
                  <w:txbxContent>
                    <w:p w:rsidR="00D74175" w:rsidRDefault="00D74175" w:rsidP="001C6519">
                      <w:pPr>
                        <w:pStyle w:val="Subtitle"/>
                        <w:spacing w:before="0"/>
                      </w:pPr>
                      <w:r>
                        <w:t>INFOSHEET</w:t>
                      </w:r>
                    </w:p>
                    <w:p w:rsidR="00D74175" w:rsidRPr="005F4930" w:rsidRDefault="005F4930" w:rsidP="005F4930">
                      <w:pPr>
                        <w:pStyle w:val="Title"/>
                        <w:rPr>
                          <w:sz w:val="36"/>
                        </w:rPr>
                      </w:pPr>
                      <w:r w:rsidRPr="005F4930">
                        <w:rPr>
                          <w:b/>
                          <w:sz w:val="52"/>
                          <w:szCs w:val="60"/>
                        </w:rPr>
                        <w:t xml:space="preserve">Review of </w:t>
                      </w:r>
                      <w:r>
                        <w:rPr>
                          <w:b/>
                          <w:sz w:val="52"/>
                          <w:szCs w:val="60"/>
                        </w:rPr>
                        <w:t xml:space="preserve">Tasmania’s </w:t>
                      </w:r>
                      <w:r w:rsidRPr="005F4930">
                        <w:rPr>
                          <w:b/>
                          <w:sz w:val="52"/>
                          <w:szCs w:val="60"/>
                        </w:rPr>
                        <w:t xml:space="preserve">Explosives Regulations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D4CC4" w:rsidRPr="00B7505C">
        <w:rPr>
          <w:noProof/>
          <w:color w:val="1F818E"/>
          <w:sz w:val="28"/>
          <w:lang w:eastAsia="en-AU"/>
        </w:rPr>
        <w:t>Tasmania’s</w:t>
      </w:r>
      <w:r w:rsidR="005F4930" w:rsidRPr="00B7505C">
        <w:rPr>
          <w:noProof/>
          <w:color w:val="1F818E"/>
          <w:sz w:val="28"/>
          <w:lang w:eastAsia="en-AU"/>
        </w:rPr>
        <w:t xml:space="preserve"> </w:t>
      </w:r>
      <w:r w:rsidR="005F4930" w:rsidRPr="00B7505C">
        <w:rPr>
          <w:i/>
          <w:noProof/>
          <w:color w:val="1F818E"/>
          <w:sz w:val="28"/>
          <w:lang w:eastAsia="en-AU"/>
        </w:rPr>
        <w:t>Explosives Regulations 2012</w:t>
      </w:r>
      <w:r w:rsidR="005F4930" w:rsidRPr="00B7505C">
        <w:rPr>
          <w:noProof/>
          <w:color w:val="1F818E"/>
          <w:sz w:val="28"/>
          <w:lang w:eastAsia="en-AU"/>
        </w:rPr>
        <w:t xml:space="preserve"> (the Regulations)</w:t>
      </w:r>
      <w:r w:rsidR="00CD4CC4" w:rsidRPr="00B7505C">
        <w:rPr>
          <w:noProof/>
          <w:color w:val="1F818E"/>
          <w:sz w:val="28"/>
          <w:lang w:eastAsia="en-AU"/>
        </w:rPr>
        <w:t xml:space="preserve"> are </w:t>
      </w:r>
      <w:r w:rsidR="00900483">
        <w:rPr>
          <w:noProof/>
          <w:color w:val="1F818E"/>
          <w:sz w:val="28"/>
          <w:lang w:eastAsia="en-AU"/>
        </w:rPr>
        <w:t>currently under review</w:t>
      </w:r>
      <w:r w:rsidR="005F4930" w:rsidRPr="00B7505C">
        <w:rPr>
          <w:noProof/>
          <w:color w:val="1F818E"/>
          <w:sz w:val="28"/>
          <w:lang w:eastAsia="en-AU"/>
        </w:rPr>
        <w:t xml:space="preserve">.  </w:t>
      </w:r>
      <w:r w:rsidR="00900483">
        <w:rPr>
          <w:noProof/>
          <w:color w:val="1F818E"/>
          <w:sz w:val="28"/>
          <w:lang w:eastAsia="en-AU"/>
        </w:rPr>
        <w:t>T</w:t>
      </w:r>
      <w:r w:rsidR="005F4930" w:rsidRPr="00B7505C">
        <w:rPr>
          <w:noProof/>
          <w:color w:val="1F818E"/>
          <w:sz w:val="28"/>
          <w:lang w:eastAsia="en-AU"/>
        </w:rPr>
        <w:t xml:space="preserve">he </w:t>
      </w:r>
      <w:r w:rsidR="005F4930" w:rsidRPr="00B7505C">
        <w:rPr>
          <w:i/>
          <w:noProof/>
          <w:color w:val="1F818E"/>
          <w:sz w:val="28"/>
          <w:lang w:eastAsia="en-AU"/>
        </w:rPr>
        <w:t>Subordinate Legislation Act 1992</w:t>
      </w:r>
      <w:r w:rsidR="005F4930" w:rsidRPr="00B7505C">
        <w:rPr>
          <w:noProof/>
          <w:color w:val="1F818E"/>
          <w:sz w:val="28"/>
          <w:lang w:eastAsia="en-AU"/>
        </w:rPr>
        <w:t xml:space="preserve"> </w:t>
      </w:r>
      <w:r w:rsidR="00900483">
        <w:rPr>
          <w:noProof/>
          <w:color w:val="1F818E"/>
          <w:sz w:val="28"/>
          <w:lang w:eastAsia="en-AU"/>
        </w:rPr>
        <w:t>requires all r</w:t>
      </w:r>
      <w:r w:rsidR="005F4930" w:rsidRPr="00B7505C">
        <w:rPr>
          <w:noProof/>
          <w:color w:val="1F818E"/>
          <w:sz w:val="28"/>
          <w:lang w:eastAsia="en-AU"/>
        </w:rPr>
        <w:t xml:space="preserve">egulations </w:t>
      </w:r>
      <w:r w:rsidR="00900483">
        <w:rPr>
          <w:noProof/>
          <w:color w:val="1F818E"/>
          <w:sz w:val="28"/>
          <w:lang w:eastAsia="en-AU"/>
        </w:rPr>
        <w:t>to be reviewed every ten years</w:t>
      </w:r>
      <w:r w:rsidR="005F4930" w:rsidRPr="00B7505C">
        <w:rPr>
          <w:noProof/>
          <w:color w:val="1F818E"/>
          <w:sz w:val="28"/>
          <w:lang w:eastAsia="en-AU"/>
        </w:rPr>
        <w:t>.</w:t>
      </w:r>
      <w:r w:rsidR="005F4930" w:rsidRPr="00B7505C">
        <w:rPr>
          <w:sz w:val="28"/>
        </w:rPr>
        <w:t xml:space="preserve"> </w:t>
      </w:r>
      <w:r w:rsidR="00900483" w:rsidRPr="00900483">
        <w:rPr>
          <w:noProof/>
          <w:color w:val="1F818E"/>
          <w:sz w:val="28"/>
          <w:lang w:eastAsia="en-AU"/>
        </w:rPr>
        <w:t xml:space="preserve">The review provides an opportunity for the community and stakeholders to </w:t>
      </w:r>
      <w:r w:rsidR="00900483">
        <w:rPr>
          <w:noProof/>
          <w:color w:val="1F818E"/>
          <w:sz w:val="28"/>
          <w:lang w:eastAsia="en-AU"/>
        </w:rPr>
        <w:t xml:space="preserve">have their say on the future regulation of explosives in Tasmania.  </w:t>
      </w:r>
    </w:p>
    <w:p w:rsidR="006C6643" w:rsidRPr="000A7603" w:rsidRDefault="005F4930" w:rsidP="00BF3B9D">
      <w:pPr>
        <w:pStyle w:val="Heading1"/>
        <w:spacing w:before="400"/>
      </w:pPr>
      <w:r w:rsidRPr="005F4930">
        <w:t>Background</w:t>
      </w:r>
      <w:r w:rsidR="00BF3B9D" w:rsidRPr="00936443">
        <w:rPr>
          <w:rStyle w:val="Heading3Char"/>
          <w:noProof/>
          <w:lang w:eastAsia="en-AU"/>
        </w:rPr>
        <w:drawing>
          <wp:anchor distT="180340" distB="180340" distL="180340" distR="180340" simplePos="0" relativeHeight="251661312" behindDoc="1" locked="1" layoutInCell="1" allowOverlap="1" wp14:anchorId="500C59C8" wp14:editId="04DD216E">
            <wp:simplePos x="0" y="0"/>
            <wp:positionH relativeFrom="margin">
              <wp:posOffset>3212465</wp:posOffset>
            </wp:positionH>
            <wp:positionV relativeFrom="page">
              <wp:posOffset>3258820</wp:posOffset>
            </wp:positionV>
            <wp:extent cx="3048000" cy="25406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-4658535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00483" w:rsidRDefault="00900483" w:rsidP="00CD4CC4">
      <w:r>
        <w:t xml:space="preserve">The </w:t>
      </w:r>
      <w:r w:rsidRPr="00CD4CC4">
        <w:rPr>
          <w:i/>
        </w:rPr>
        <w:t>Explosives Act 2012</w:t>
      </w:r>
      <w:r>
        <w:t xml:space="preserve"> </w:t>
      </w:r>
      <w:r w:rsidR="00BD4814">
        <w:t xml:space="preserve">(the Act) </w:t>
      </w:r>
      <w:r w:rsidRPr="00900483">
        <w:t>provide</w:t>
      </w:r>
      <w:r>
        <w:t>s</w:t>
      </w:r>
      <w:r w:rsidRPr="00900483">
        <w:t xml:space="preserve"> for the safe handling of explosives, for the safe management of places where explosives are handled</w:t>
      </w:r>
      <w:r w:rsidR="000C22D3">
        <w:t>,</w:t>
      </w:r>
      <w:r w:rsidRPr="00900483">
        <w:t xml:space="preserve"> and for the safe management of incidents and emergencies involving explosives</w:t>
      </w:r>
      <w:r>
        <w:t xml:space="preserve">. </w:t>
      </w:r>
    </w:p>
    <w:p w:rsidR="00CD4CC4" w:rsidRDefault="00CD4CC4" w:rsidP="00CD4CC4">
      <w:r w:rsidRPr="005F4930">
        <w:t xml:space="preserve">The Regulations support the </w:t>
      </w:r>
      <w:r w:rsidR="00900483" w:rsidRPr="00900483">
        <w:t xml:space="preserve">Act </w:t>
      </w:r>
      <w:r w:rsidRPr="005F4930">
        <w:t xml:space="preserve">by providing clarity and further detail for duty holders on how to fulfil their obligations.  </w:t>
      </w:r>
    </w:p>
    <w:p w:rsidR="000C22D3" w:rsidRDefault="000C22D3" w:rsidP="00B7505C">
      <w:r>
        <w:t>The Regulations include regulations for the use and management of explosives</w:t>
      </w:r>
      <w:r w:rsidR="000A343B">
        <w:t>,</w:t>
      </w:r>
      <w:r>
        <w:t xml:space="preserve"> including fireworks</w:t>
      </w:r>
      <w:r w:rsidR="000A343B">
        <w:t>,</w:t>
      </w:r>
      <w:r>
        <w:t xml:space="preserve"> and also include detail for shot-firing and blasting activities including</w:t>
      </w:r>
      <w:r w:rsidR="00D176A2">
        <w:t xml:space="preserve"> associated</w:t>
      </w:r>
      <w:r>
        <w:t xml:space="preserve"> permits and plans.</w:t>
      </w:r>
    </w:p>
    <w:p w:rsidR="006C6643" w:rsidRPr="00CD4CC4" w:rsidRDefault="006C6643" w:rsidP="00CD4CC4">
      <w:pPr>
        <w:rPr>
          <w:sz w:val="2"/>
        </w:rPr>
      </w:pPr>
    </w:p>
    <w:p w:rsidR="00BF3B9D" w:rsidRPr="001C6519" w:rsidRDefault="00CD4CC4" w:rsidP="001C6519">
      <w:pPr>
        <w:pStyle w:val="Heading2"/>
      </w:pPr>
      <w:bookmarkStart w:id="1" w:name="_Toc87360570"/>
      <w:r>
        <w:t>Use of Fireworks in Tasmania</w:t>
      </w:r>
    </w:p>
    <w:p w:rsidR="00FE6295" w:rsidRDefault="00CD4CC4" w:rsidP="00126CD6">
      <w:r w:rsidRPr="00CD4CC4">
        <w:t xml:space="preserve">Fireworks, in particular, have long been the subject of public interest, with divided views regarding the use of fireworks in Tasmania.  Changes to the legislative framework for the administration of Type 2 fireworks </w:t>
      </w:r>
      <w:r>
        <w:t xml:space="preserve">were announced </w:t>
      </w:r>
      <w:r w:rsidR="000A343B">
        <w:t xml:space="preserve">by the Government </w:t>
      </w:r>
      <w:r w:rsidRPr="00CD4CC4">
        <w:t>in 2016</w:t>
      </w:r>
      <w:r w:rsidR="000A343B">
        <w:t xml:space="preserve"> and implemented in 2018</w:t>
      </w:r>
      <w:r w:rsidRPr="00CD4CC4">
        <w:t xml:space="preserve">.  </w:t>
      </w:r>
    </w:p>
    <w:p w:rsidR="00CD4CC4" w:rsidRDefault="00CD4CC4" w:rsidP="00126CD6">
      <w:r w:rsidRPr="00CD4CC4">
        <w:t xml:space="preserve">This revised framework provided additional restrictions on Type 2 fireworks to ensure a more balanced approach in protecting people, animals and the environment, whilst still enabling Tasmanian to enjoy Commonwealth Day, better known to Tasmanians as “Cracker Night”.  </w:t>
      </w:r>
    </w:p>
    <w:p w:rsidR="0081575B" w:rsidRDefault="0081575B" w:rsidP="00126CD6">
      <w:r w:rsidRPr="0081575B">
        <w:t>To hold a fireworks display for Cracker Night, you must obtain a permit from WorkSafe Tasmania. Anyone 18 years or older can apply for a Cracker Night fireworks permit. If a permit is issued, it allows Type 2 fireworks to be used</w:t>
      </w:r>
      <w:r w:rsidR="00D176A2">
        <w:t xml:space="preserve"> for up to 30 minutes on the night</w:t>
      </w:r>
      <w:r w:rsidRPr="0081575B">
        <w:t>.</w:t>
      </w:r>
      <w:r w:rsidR="00D176A2">
        <w:t xml:space="preserve"> </w:t>
      </w:r>
    </w:p>
    <w:p w:rsidR="00954DC6" w:rsidRDefault="00D176A2" w:rsidP="00126CD6">
      <w:pPr>
        <w:sectPr w:rsidR="00954DC6" w:rsidSect="00891399">
          <w:headerReference w:type="first" r:id="rId8"/>
          <w:footerReference w:type="first" r:id="rId9"/>
          <w:pgSz w:w="11906" w:h="16838"/>
          <w:pgMar w:top="3119" w:right="991" w:bottom="2410" w:left="1134" w:header="1985" w:footer="708" w:gutter="0"/>
          <w:cols w:space="708"/>
          <w:titlePg/>
          <w:docGrid w:linePitch="360"/>
        </w:sectPr>
      </w:pPr>
      <w:r w:rsidRPr="00D176A2">
        <w:t xml:space="preserve">Not all locations are suited for a fireworks display. Most urban properties will not meet the safe firing distances required to obtain the permit. All applications that do not meet the distance requirements </w:t>
      </w:r>
      <w:r>
        <w:t>are</w:t>
      </w:r>
      <w:r w:rsidRPr="00D176A2">
        <w:t xml:space="preserve"> refused.</w:t>
      </w:r>
      <w:r w:rsidR="000A343B">
        <w:t xml:space="preserve"> </w:t>
      </w:r>
      <w:r w:rsidR="0054138C">
        <w:t xml:space="preserve"> </w:t>
      </w:r>
      <w:bookmarkEnd w:id="1"/>
    </w:p>
    <w:p w:rsidR="00D176A2" w:rsidRPr="00CD4CC4" w:rsidRDefault="00D176A2" w:rsidP="00D176A2">
      <w:pPr>
        <w:rPr>
          <w:sz w:val="2"/>
        </w:rPr>
      </w:pPr>
    </w:p>
    <w:p w:rsidR="00D176A2" w:rsidRPr="001C6519" w:rsidRDefault="00D176A2" w:rsidP="00D176A2">
      <w:pPr>
        <w:pStyle w:val="Heading2"/>
      </w:pPr>
      <w:r>
        <w:t>Sensitive areas where fireworks displays are not permitted</w:t>
      </w:r>
    </w:p>
    <w:p w:rsidR="00D176A2" w:rsidRPr="00D176A2" w:rsidRDefault="00D176A2" w:rsidP="00D176A2">
      <w:r>
        <w:t>S</w:t>
      </w:r>
      <w:r w:rsidRPr="00D176A2">
        <w:t xml:space="preserve">ome locations </w:t>
      </w:r>
      <w:r>
        <w:t xml:space="preserve">are </w:t>
      </w:r>
      <w:r w:rsidRPr="00D176A2">
        <w:t>unsuitable for a fireworks display because of the potential to cause significant risks to the surrounding environment. This may be due to the native animals or livestock.</w:t>
      </w:r>
    </w:p>
    <w:p w:rsidR="00D176A2" w:rsidRPr="00D176A2" w:rsidRDefault="00D176A2" w:rsidP="00D176A2">
      <w:pPr>
        <w:pStyle w:val="NormalWeb"/>
        <w:shd w:val="clear" w:color="auto" w:fill="FFFFFF"/>
        <w:spacing w:before="0" w:beforeAutospacing="0"/>
        <w:rPr>
          <w:rFonts w:ascii="Gill Sans MT" w:eastAsiaTheme="minorHAnsi" w:hAnsi="Gill Sans MT" w:cstheme="minorBidi"/>
          <w:lang w:eastAsia="en-US"/>
        </w:rPr>
      </w:pPr>
      <w:r>
        <w:rPr>
          <w:rFonts w:ascii="Gill Sans MT" w:eastAsiaTheme="minorHAnsi" w:hAnsi="Gill Sans MT" w:cstheme="minorBidi"/>
          <w:lang w:eastAsia="en-US"/>
        </w:rPr>
        <w:t xml:space="preserve">Permits are not issued in suburbs with a concentration of private horse ownership and previous community complaints (this includes </w:t>
      </w:r>
      <w:r w:rsidRPr="00D176A2">
        <w:rPr>
          <w:rFonts w:ascii="Gill Sans MT" w:eastAsiaTheme="minorHAnsi" w:hAnsi="Gill Sans MT" w:cstheme="minorBidi"/>
          <w:lang w:eastAsia="en-US"/>
        </w:rPr>
        <w:t xml:space="preserve">Acton Park, Allen’s Rivulet, Carlton, Devon Hills, Dodges Ferry, Orielton, </w:t>
      </w:r>
      <w:proofErr w:type="spellStart"/>
      <w:r w:rsidRPr="00D176A2">
        <w:rPr>
          <w:rFonts w:ascii="Gill Sans MT" w:eastAsiaTheme="minorHAnsi" w:hAnsi="Gill Sans MT" w:cstheme="minorBidi"/>
          <w:lang w:eastAsia="en-US"/>
        </w:rPr>
        <w:t>Roches</w:t>
      </w:r>
      <w:proofErr w:type="spellEnd"/>
      <w:r w:rsidRPr="00D176A2">
        <w:rPr>
          <w:rFonts w:ascii="Gill Sans MT" w:eastAsiaTheme="minorHAnsi" w:hAnsi="Gill Sans MT" w:cstheme="minorBidi"/>
          <w:lang w:eastAsia="en-US"/>
        </w:rPr>
        <w:t xml:space="preserve"> Beach and Sandford</w:t>
      </w:r>
      <w:r w:rsidR="00BD4814">
        <w:rPr>
          <w:rFonts w:ascii="Gill Sans MT" w:eastAsiaTheme="minorHAnsi" w:hAnsi="Gill Sans MT" w:cstheme="minorBidi"/>
          <w:lang w:eastAsia="en-US"/>
        </w:rPr>
        <w:t>)</w:t>
      </w:r>
      <w:r>
        <w:rPr>
          <w:rFonts w:ascii="Gill Sans MT" w:eastAsiaTheme="minorHAnsi" w:hAnsi="Gill Sans MT" w:cstheme="minorBidi"/>
          <w:lang w:eastAsia="en-US"/>
        </w:rPr>
        <w:t xml:space="preserve">.  </w:t>
      </w:r>
    </w:p>
    <w:p w:rsidR="00D176A2" w:rsidRPr="00D176A2" w:rsidRDefault="00D176A2" w:rsidP="00D176A2">
      <w:pPr>
        <w:pStyle w:val="Heading2"/>
        <w:rPr>
          <w:color w:val="auto"/>
          <w:sz w:val="24"/>
          <w:szCs w:val="24"/>
        </w:rPr>
      </w:pPr>
      <w:r w:rsidRPr="00D176A2">
        <w:rPr>
          <w:color w:val="auto"/>
          <w:sz w:val="24"/>
          <w:szCs w:val="24"/>
        </w:rPr>
        <w:t>A distance of 1 kilometre may be required from commercial boarding kennels and commercial horse businesses due to the significant risk to animals.</w:t>
      </w:r>
    </w:p>
    <w:p w:rsidR="00D176A2" w:rsidRDefault="00D176A2" w:rsidP="00D176A2">
      <w:pPr>
        <w:pStyle w:val="Heading2"/>
        <w:rPr>
          <w:color w:val="auto"/>
          <w:sz w:val="24"/>
          <w:szCs w:val="24"/>
        </w:rPr>
      </w:pPr>
      <w:r w:rsidRPr="00D176A2">
        <w:rPr>
          <w:color w:val="auto"/>
          <w:sz w:val="24"/>
          <w:szCs w:val="24"/>
        </w:rPr>
        <w:t xml:space="preserve">A distance of 3 kilometres may be required from a sanctuary or conservation area, such as </w:t>
      </w:r>
      <w:proofErr w:type="spellStart"/>
      <w:r w:rsidRPr="00D176A2">
        <w:rPr>
          <w:color w:val="auto"/>
          <w:sz w:val="24"/>
          <w:szCs w:val="24"/>
        </w:rPr>
        <w:t>Bonorong</w:t>
      </w:r>
      <w:proofErr w:type="spellEnd"/>
      <w:r w:rsidRPr="00D176A2">
        <w:rPr>
          <w:color w:val="auto"/>
          <w:sz w:val="24"/>
          <w:szCs w:val="24"/>
        </w:rPr>
        <w:t xml:space="preserve"> Wildlife Sanctuary, Tasmania Zoo and </w:t>
      </w:r>
      <w:proofErr w:type="spellStart"/>
      <w:r w:rsidRPr="00D176A2">
        <w:rPr>
          <w:color w:val="auto"/>
          <w:sz w:val="24"/>
          <w:szCs w:val="24"/>
        </w:rPr>
        <w:t>Trowunna</w:t>
      </w:r>
      <w:proofErr w:type="spellEnd"/>
      <w:r w:rsidRPr="00D176A2">
        <w:rPr>
          <w:color w:val="auto"/>
          <w:sz w:val="24"/>
          <w:szCs w:val="24"/>
        </w:rPr>
        <w:t xml:space="preserve"> Wildlife due to the risk to native animals.</w:t>
      </w:r>
    </w:p>
    <w:p w:rsidR="000A343B" w:rsidRPr="001C6519" w:rsidRDefault="000A343B" w:rsidP="000A343B">
      <w:pPr>
        <w:pStyle w:val="Heading2"/>
      </w:pPr>
      <w:r>
        <w:t>Shot-firing permits and training courses</w:t>
      </w:r>
    </w:p>
    <w:p w:rsidR="000A343B" w:rsidRDefault="000A343B" w:rsidP="000A343B">
      <w:r>
        <w:t>The Regulations also specify requirements for shot-firing permits issued by WorkSafe Tasmania (or an interstate shot-firing authority recognised by WorkSafe Tasmania) to prime or fire explosives in Tasmania.</w:t>
      </w:r>
    </w:p>
    <w:p w:rsidR="000A343B" w:rsidRDefault="000A343B" w:rsidP="00BD4814">
      <w:r>
        <w:t>In almost all cases, a Security-sensitive Dangerous Substances permit from WorkSafe Tasmania</w:t>
      </w:r>
      <w:r w:rsidR="00BD4814">
        <w:t xml:space="preserve"> is also required</w:t>
      </w:r>
      <w:r>
        <w:t>.</w:t>
      </w:r>
      <w:r w:rsidR="00BD4814">
        <w:t xml:space="preserve"> </w:t>
      </w:r>
      <w:r>
        <w:t>A permit is valid for 3 years unless cancelled, revoked, or issued for a shorter period</w:t>
      </w:r>
      <w:r w:rsidR="00EC7E07">
        <w:t>.</w:t>
      </w:r>
      <w:r w:rsidR="00BD4814">
        <w:t xml:space="preserve"> </w:t>
      </w:r>
      <w:r w:rsidR="00EC7E07">
        <w:t xml:space="preserve">Permits to undertake shot-firing </w:t>
      </w:r>
      <w:r w:rsidR="00BD4814">
        <w:t>are</w:t>
      </w:r>
      <w:r w:rsidR="00EC7E07">
        <w:t xml:space="preserve"> only be issued </w:t>
      </w:r>
      <w:r w:rsidR="00BD4814">
        <w:t xml:space="preserve">to people that </w:t>
      </w:r>
      <w:r w:rsidR="00EC7E07">
        <w:t>are 18 years of age or older</w:t>
      </w:r>
      <w:r w:rsidR="00BD4814">
        <w:t xml:space="preserve">; </w:t>
      </w:r>
      <w:r w:rsidR="00EC7E07">
        <w:t>have a legitimate need for the permit</w:t>
      </w:r>
      <w:r w:rsidR="00BD4814">
        <w:t xml:space="preserve">; and </w:t>
      </w:r>
      <w:r w:rsidR="00EC7E07">
        <w:t xml:space="preserve">are a ‘fit and proper person’ as determined by a National Police Record Check. </w:t>
      </w:r>
    </w:p>
    <w:p w:rsidR="006C6643" w:rsidRPr="001C6519" w:rsidRDefault="006D7C8C" w:rsidP="00BD4814">
      <w:pPr>
        <w:pStyle w:val="Heading2"/>
      </w:pPr>
      <w:r>
        <w:t>Consultation</w:t>
      </w:r>
    </w:p>
    <w:p w:rsidR="00BD4814" w:rsidRDefault="00BD4814" w:rsidP="00BD4814">
      <w:r>
        <w:t>The Tasmanian Government is seeking the community and stakeholder views on the</w:t>
      </w:r>
      <w:r w:rsidRPr="00BD4814">
        <w:t xml:space="preserve"> </w:t>
      </w:r>
      <w:r w:rsidRPr="00BD4814">
        <w:rPr>
          <w:i/>
        </w:rPr>
        <w:t>Explosives Regulations 2012</w:t>
      </w:r>
      <w:r>
        <w:rPr>
          <w:i/>
        </w:rPr>
        <w:t xml:space="preserve">, </w:t>
      </w:r>
      <w:r>
        <w:t xml:space="preserve">including the framework for the use of fireworks in Tasmania.  </w:t>
      </w:r>
    </w:p>
    <w:p w:rsidR="006D7C8C" w:rsidRDefault="006D7C8C" w:rsidP="00A92FFA">
      <w:pPr>
        <w:pStyle w:val="Heading3"/>
        <w:spacing w:after="120"/>
        <w:rPr>
          <w:rFonts w:eastAsiaTheme="minorHAnsi" w:cstheme="minorBidi"/>
          <w:color w:val="auto"/>
          <w:sz w:val="24"/>
          <w:szCs w:val="24"/>
        </w:rPr>
      </w:pPr>
      <w:r w:rsidRPr="006D7C8C">
        <w:rPr>
          <w:rFonts w:eastAsiaTheme="minorHAnsi" w:cstheme="minorBidi"/>
          <w:color w:val="auto"/>
          <w:sz w:val="24"/>
          <w:szCs w:val="24"/>
        </w:rPr>
        <w:t xml:space="preserve">Stakeholders, including the general public, </w:t>
      </w:r>
      <w:r w:rsidR="00A92FFA">
        <w:rPr>
          <w:rFonts w:eastAsiaTheme="minorHAnsi" w:cstheme="minorBidi"/>
          <w:color w:val="auto"/>
          <w:sz w:val="24"/>
          <w:szCs w:val="24"/>
        </w:rPr>
        <w:t xml:space="preserve">will </w:t>
      </w:r>
      <w:r w:rsidRPr="006D7C8C">
        <w:rPr>
          <w:rFonts w:eastAsiaTheme="minorHAnsi" w:cstheme="minorBidi"/>
          <w:color w:val="auto"/>
          <w:sz w:val="24"/>
          <w:szCs w:val="24"/>
        </w:rPr>
        <w:t xml:space="preserve">be consulted throughout </w:t>
      </w:r>
      <w:r w:rsidR="004D69FF">
        <w:rPr>
          <w:rFonts w:eastAsiaTheme="minorHAnsi" w:cstheme="minorBidi"/>
          <w:color w:val="auto"/>
          <w:sz w:val="24"/>
          <w:szCs w:val="24"/>
        </w:rPr>
        <w:t>May</w:t>
      </w:r>
      <w:r w:rsidRPr="006D7C8C">
        <w:rPr>
          <w:rFonts w:eastAsiaTheme="minorHAnsi" w:cstheme="minorBidi"/>
          <w:color w:val="auto"/>
          <w:sz w:val="24"/>
          <w:szCs w:val="24"/>
        </w:rPr>
        <w:t xml:space="preserve"> 2022 as an initial opportunity to provide input into any amendments to the existing R</w:t>
      </w:r>
      <w:bookmarkStart w:id="2" w:name="_GoBack"/>
      <w:bookmarkEnd w:id="2"/>
      <w:r w:rsidRPr="006D7C8C">
        <w:rPr>
          <w:rFonts w:eastAsiaTheme="minorHAnsi" w:cstheme="minorBidi"/>
          <w:color w:val="auto"/>
          <w:sz w:val="24"/>
          <w:szCs w:val="24"/>
        </w:rPr>
        <w:t xml:space="preserve">egulations.  </w:t>
      </w:r>
    </w:p>
    <w:p w:rsidR="006D7C8C" w:rsidRDefault="006D7C8C" w:rsidP="006D7C8C">
      <w:pPr>
        <w:pStyle w:val="Heading3"/>
        <w:rPr>
          <w:rFonts w:eastAsiaTheme="minorHAnsi" w:cstheme="minorBidi"/>
          <w:color w:val="auto"/>
          <w:sz w:val="24"/>
          <w:szCs w:val="24"/>
        </w:rPr>
      </w:pPr>
      <w:r w:rsidRPr="006D7C8C">
        <w:rPr>
          <w:rFonts w:eastAsiaTheme="minorHAnsi" w:cstheme="minorBidi"/>
          <w:color w:val="auto"/>
          <w:sz w:val="24"/>
          <w:szCs w:val="24"/>
        </w:rPr>
        <w:t>Further opportunity for input will be offered to stakeholders once any draft amendments to the Regulations are made.</w:t>
      </w:r>
    </w:p>
    <w:p w:rsidR="008820F0" w:rsidRPr="006C6643" w:rsidRDefault="002F1564" w:rsidP="00126CD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BEBEF" wp14:editId="3A271B0C">
                <wp:simplePos x="0" y="0"/>
                <wp:positionH relativeFrom="margin">
                  <wp:posOffset>-144780</wp:posOffset>
                </wp:positionH>
                <wp:positionV relativeFrom="page">
                  <wp:posOffset>8976360</wp:posOffset>
                </wp:positionV>
                <wp:extent cx="3406140" cy="122682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1226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1564" w:rsidRDefault="00E050B8" w:rsidP="002F1564">
                            <w:pPr>
                              <w:spacing w:after="60"/>
                              <w:rPr>
                                <w:rFonts w:cs="GillSansMTPro-Bold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cs="GillSansMTPro-Bold"/>
                                <w:b/>
                                <w:bCs/>
                                <w:color w:val="FFFFFF" w:themeColor="background1"/>
                              </w:rPr>
                              <w:t>Department of Justice</w:t>
                            </w:r>
                          </w:p>
                          <w:p w:rsidR="002F1564" w:rsidRDefault="005F4930" w:rsidP="002F1564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5F4930">
                              <w:rPr>
                                <w:b/>
                                <w:color w:val="FFFFFF" w:themeColor="background1"/>
                              </w:rPr>
                              <w:t>WorkSafe Tasmania</w:t>
                            </w:r>
                            <w:r w:rsidR="002F1564" w:rsidRPr="002F1564">
                              <w:rPr>
                                <w:color w:val="FFFFFF" w:themeColor="background1"/>
                              </w:rPr>
                              <w:br/>
                            </w:r>
                            <w:proofErr w:type="gramStart"/>
                            <w:r w:rsidR="002F1564" w:rsidRPr="002F1564">
                              <w:rPr>
                                <w:rFonts w:cs="GillSansMTPro-Bold"/>
                                <w:b/>
                                <w:bCs/>
                                <w:color w:val="FFFFFF" w:themeColor="background1"/>
                              </w:rPr>
                              <w:t>Phone:</w:t>
                            </w:r>
                            <w:proofErr w:type="gramEnd"/>
                            <w:r w:rsidR="002F1564" w:rsidRPr="002F1564">
                              <w:rPr>
                                <w:color w:val="FFFFFF" w:themeColor="background1"/>
                              </w:rPr>
                              <w:t xml:space="preserve">(03) </w:t>
                            </w:r>
                            <w:r>
                              <w:rPr>
                                <w:color w:val="FFFFFF" w:themeColor="background1"/>
                              </w:rPr>
                              <w:t>6166 4602</w:t>
                            </w:r>
                          </w:p>
                          <w:p w:rsidR="002F1564" w:rsidRDefault="002F1564" w:rsidP="002F1564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r w:rsidRPr="002F1564">
                              <w:rPr>
                                <w:rFonts w:cs="GillSansMTPro-Bold"/>
                                <w:b/>
                                <w:bCs/>
                                <w:color w:val="FFFFFF" w:themeColor="background1"/>
                              </w:rPr>
                              <w:t>Email:</w:t>
                            </w:r>
                            <w:r w:rsidR="005F4930">
                              <w:rPr>
                                <w:rFonts w:cs="GillSansMTPro-Bold"/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5F4930">
                              <w:rPr>
                                <w:color w:val="FFFFFF" w:themeColor="background1"/>
                              </w:rPr>
                              <w:t>worksafepolicy</w:t>
                            </w:r>
                            <w:r w:rsidRPr="002F1564">
                              <w:rPr>
                                <w:color w:val="FFFFFF" w:themeColor="background1"/>
                              </w:rPr>
                              <w:t>@</w:t>
                            </w:r>
                            <w:r w:rsidR="00E050B8">
                              <w:rPr>
                                <w:color w:val="FFFFFF" w:themeColor="background1"/>
                              </w:rPr>
                              <w:t>justice</w:t>
                            </w:r>
                            <w:r w:rsidRPr="002F1564">
                              <w:rPr>
                                <w:color w:val="FFFFFF" w:themeColor="background1"/>
                              </w:rPr>
                              <w:t>.tas.gov.au</w:t>
                            </w:r>
                          </w:p>
                          <w:p w:rsidR="002F1564" w:rsidRPr="002F1564" w:rsidRDefault="009B33AD" w:rsidP="002F1564">
                            <w:pPr>
                              <w:spacing w:after="60"/>
                              <w:rPr>
                                <w:color w:val="FFFFFF" w:themeColor="background1"/>
                              </w:rPr>
                            </w:pPr>
                            <w:hyperlink r:id="rId10" w:history="1">
                              <w:r w:rsidR="00E050B8">
                                <w:rPr>
                                  <w:rStyle w:val="Hyperlink"/>
                                  <w:rFonts w:asciiTheme="majorHAnsi" w:hAnsiTheme="majorHAnsi" w:cs="GillSansMTPro-Bold"/>
                                  <w:b/>
                                  <w:bCs/>
                                  <w:color w:val="FFFFFF" w:themeColor="background1"/>
                                </w:rPr>
                                <w:t>www.justice</w:t>
                              </w:r>
                              <w:r w:rsidR="002F1564" w:rsidRPr="002F1564">
                                <w:rPr>
                                  <w:rStyle w:val="Hyperlink"/>
                                  <w:rFonts w:asciiTheme="majorHAnsi" w:hAnsiTheme="majorHAnsi" w:cs="GillSansMTPro-Bold"/>
                                  <w:b/>
                                  <w:bCs/>
                                  <w:color w:val="FFFFFF" w:themeColor="background1"/>
                                </w:rPr>
                                <w:t>.tas.gov.au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EBEF" id="Text Box 43" o:spid="_x0000_s1027" type="#_x0000_t202" style="position:absolute;margin-left:-11.4pt;margin-top:706.8pt;width:268.2pt;height:96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" filled="f" stroked="f" strokeweight=".5pt">
                <v:textbox>
                  <w:txbxContent>
                    <w:p w:rsidR="002F1564" w:rsidRDefault="00E050B8" w:rsidP="002F1564">
                      <w:pPr>
                        <w:spacing w:after="60"/>
                        <w:rPr>
                          <w:rFonts w:cs="GillSansMTPro-Bold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Fonts w:cs="GillSansMTPro-Bold"/>
                          <w:b/>
                          <w:bCs/>
                          <w:color w:val="FFFFFF" w:themeColor="background1"/>
                        </w:rPr>
                        <w:t>Department of Justice</w:t>
                      </w:r>
                    </w:p>
                    <w:p w:rsidR="002F1564" w:rsidRDefault="005F4930" w:rsidP="002F1564">
                      <w:pPr>
                        <w:spacing w:after="60"/>
                        <w:rPr>
                          <w:color w:val="FFFFFF" w:themeColor="background1"/>
                        </w:rPr>
                      </w:pPr>
                      <w:r w:rsidRPr="005F4930">
                        <w:rPr>
                          <w:b/>
                          <w:color w:val="FFFFFF" w:themeColor="background1"/>
                        </w:rPr>
                        <w:t>WorkSafe Tasmania</w:t>
                      </w:r>
                      <w:r w:rsidR="002F1564" w:rsidRPr="002F1564">
                        <w:rPr>
                          <w:color w:val="FFFFFF" w:themeColor="background1"/>
                        </w:rPr>
                        <w:br/>
                      </w:r>
                      <w:proofErr w:type="gramStart"/>
                      <w:r w:rsidR="002F1564" w:rsidRPr="002F1564">
                        <w:rPr>
                          <w:rFonts w:cs="GillSansMTPro-Bold"/>
                          <w:b/>
                          <w:bCs/>
                          <w:color w:val="FFFFFF" w:themeColor="background1"/>
                        </w:rPr>
                        <w:t>Phone:</w:t>
                      </w:r>
                      <w:proofErr w:type="gramEnd"/>
                      <w:r w:rsidR="002F1564" w:rsidRPr="002F1564">
                        <w:rPr>
                          <w:color w:val="FFFFFF" w:themeColor="background1"/>
                        </w:rPr>
                        <w:t xml:space="preserve">(03) </w:t>
                      </w:r>
                      <w:r>
                        <w:rPr>
                          <w:color w:val="FFFFFF" w:themeColor="background1"/>
                        </w:rPr>
                        <w:t>6166 4602</w:t>
                      </w:r>
                    </w:p>
                    <w:p w:rsidR="002F1564" w:rsidRDefault="002F1564" w:rsidP="002F1564">
                      <w:pPr>
                        <w:spacing w:after="60"/>
                        <w:rPr>
                          <w:color w:val="FFFFFF" w:themeColor="background1"/>
                        </w:rPr>
                      </w:pPr>
                      <w:r w:rsidRPr="002F1564">
                        <w:rPr>
                          <w:rFonts w:cs="GillSansMTPro-Bold"/>
                          <w:b/>
                          <w:bCs/>
                          <w:color w:val="FFFFFF" w:themeColor="background1"/>
                        </w:rPr>
                        <w:t>Email:</w:t>
                      </w:r>
                      <w:r w:rsidR="005F4930">
                        <w:rPr>
                          <w:rFonts w:cs="GillSansMTPro-Bold"/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5F4930">
                        <w:rPr>
                          <w:color w:val="FFFFFF" w:themeColor="background1"/>
                        </w:rPr>
                        <w:t>worksafepolicy</w:t>
                      </w:r>
                      <w:r w:rsidRPr="002F1564">
                        <w:rPr>
                          <w:color w:val="FFFFFF" w:themeColor="background1"/>
                        </w:rPr>
                        <w:t>@</w:t>
                      </w:r>
                      <w:r w:rsidR="00E050B8">
                        <w:rPr>
                          <w:color w:val="FFFFFF" w:themeColor="background1"/>
                        </w:rPr>
                        <w:t>justice</w:t>
                      </w:r>
                      <w:r w:rsidRPr="002F1564">
                        <w:rPr>
                          <w:color w:val="FFFFFF" w:themeColor="background1"/>
                        </w:rPr>
                        <w:t>.tas.gov.au</w:t>
                      </w:r>
                    </w:p>
                    <w:p w:rsidR="002F1564" w:rsidRPr="002F1564" w:rsidRDefault="00B92E95" w:rsidP="002F1564">
                      <w:pPr>
                        <w:spacing w:after="60"/>
                        <w:rPr>
                          <w:color w:val="FFFFFF" w:themeColor="background1"/>
                        </w:rPr>
                      </w:pPr>
                      <w:hyperlink r:id="rId11" w:history="1">
                        <w:r w:rsidR="00E050B8">
                          <w:rPr>
                            <w:rStyle w:val="Hyperlink"/>
                            <w:rFonts w:asciiTheme="majorHAnsi" w:hAnsiTheme="majorHAnsi" w:cs="GillSansMTPro-Bold"/>
                            <w:b/>
                            <w:bCs/>
                            <w:color w:val="FFFFFF" w:themeColor="background1"/>
                          </w:rPr>
                          <w:t>www.justice</w:t>
                        </w:r>
                        <w:r w:rsidR="002F1564" w:rsidRPr="002F1564">
                          <w:rPr>
                            <w:rStyle w:val="Hyperlink"/>
                            <w:rFonts w:asciiTheme="majorHAnsi" w:hAnsiTheme="majorHAnsi" w:cs="GillSansMTPro-Bold"/>
                            <w:b/>
                            <w:bCs/>
                            <w:color w:val="FFFFFF" w:themeColor="background1"/>
                          </w:rPr>
                          <w:t>.tas.gov.au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8820F0" w:rsidRPr="006C6643" w:rsidSect="002F1564">
      <w:headerReference w:type="first" r:id="rId12"/>
      <w:footerReference w:type="first" r:id="rId13"/>
      <w:pgSz w:w="11906" w:h="16838"/>
      <w:pgMar w:top="1099" w:right="1440" w:bottom="1276" w:left="1440" w:header="1135" w:footer="26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3AD" w:rsidRDefault="009B33AD" w:rsidP="00126CD6">
      <w:r>
        <w:separator/>
      </w:r>
    </w:p>
  </w:endnote>
  <w:endnote w:type="continuationSeparator" w:id="0">
    <w:p w:rsidR="009B33AD" w:rsidRDefault="009B33AD" w:rsidP="0012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Times New Roman (Body CS)">
    <w:altName w:val="Arial"/>
    <w:charset w:val="00"/>
    <w:family w:val="roman"/>
    <w:pitch w:val="default"/>
  </w:font>
  <w:font w:name="GillSansMTPro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6B" w:rsidRPr="00FD342D" w:rsidRDefault="00994920" w:rsidP="00FD342D">
    <w:pPr>
      <w:pStyle w:val="Footer"/>
      <w:tabs>
        <w:tab w:val="clear" w:pos="4513"/>
      </w:tabs>
      <w:ind w:left="-284"/>
      <w:rPr>
        <w:sz w:val="22"/>
        <w:szCs w:val="18"/>
      </w:rPr>
    </w:pPr>
    <w:r w:rsidRPr="00FD342D">
      <w:rPr>
        <w:sz w:val="36"/>
        <w:szCs w:val="28"/>
      </w:rPr>
      <w:t>Department of Justice</w:t>
    </w:r>
  </w:p>
  <w:p w:rsidR="00FD342D" w:rsidRPr="00FD342D" w:rsidRDefault="00FD342D" w:rsidP="00FD342D">
    <w:pPr>
      <w:pStyle w:val="Footer"/>
      <w:tabs>
        <w:tab w:val="clear" w:pos="4513"/>
      </w:tabs>
      <w:ind w:left="-284"/>
      <w:rPr>
        <w:sz w:val="40"/>
      </w:rPr>
    </w:pPr>
    <w:r w:rsidRPr="00FD342D">
      <w:rPr>
        <w:sz w:val="28"/>
        <w:szCs w:val="18"/>
      </w:rPr>
      <w:t>WorkSafe Tasmania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348298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A6B" w:rsidRPr="00347A6B" w:rsidRDefault="002F1564" w:rsidP="00347A6B">
        <w:pPr>
          <w:pStyle w:val="Footer"/>
          <w:tabs>
            <w:tab w:val="clear" w:pos="4513"/>
          </w:tabs>
          <w:rPr>
            <w:sz w:val="18"/>
            <w:szCs w:val="18"/>
          </w:rPr>
        </w:pPr>
        <w:r>
          <w:rPr>
            <w:noProof/>
            <w:sz w:val="18"/>
            <w:szCs w:val="18"/>
            <w:lang w:eastAsia="en-AU"/>
          </w:rPr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-126365</wp:posOffset>
              </wp:positionV>
              <wp:extent cx="4064635" cy="1917700"/>
              <wp:effectExtent l="0" t="0" r="0" b="6350"/>
              <wp:wrapTight wrapText="bothSides">
                <wp:wrapPolygon edited="0">
                  <wp:start x="0" y="0"/>
                  <wp:lineTo x="0" y="21457"/>
                  <wp:lineTo x="21462" y="21457"/>
                  <wp:lineTo x="21462" y="0"/>
                  <wp:lineTo x="0" y="0"/>
                </wp:wrapPolygon>
              </wp:wrapTight>
              <wp:docPr id="41" name="Picture 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Blue bloc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4635" cy="1917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33F44">
          <w:rPr>
            <w:rFonts w:asciiTheme="majorHAnsi" w:hAnsiTheme="majorHAnsi"/>
            <w:noProof/>
            <w:lang w:eastAsia="en-AU"/>
          </w:rPr>
          <w:drawing>
            <wp:anchor distT="0" distB="0" distL="114300" distR="114300" simplePos="0" relativeHeight="251661312" behindDoc="0" locked="0" layoutInCell="1" allowOverlap="1" wp14:anchorId="7568EA7A" wp14:editId="54F84799">
              <wp:simplePos x="0" y="0"/>
              <wp:positionH relativeFrom="column">
                <wp:posOffset>5219700</wp:posOffset>
              </wp:positionH>
              <wp:positionV relativeFrom="page">
                <wp:posOffset>9422130</wp:posOffset>
              </wp:positionV>
              <wp:extent cx="989965" cy="914400"/>
              <wp:effectExtent l="0" t="0" r="635" b="0"/>
              <wp:wrapNone/>
              <wp:docPr id="42" name="Picture 42" title="Tasmanian Government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TasGov_CMYK_vert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965" cy="914400"/>
                      </a:xfrm>
                      <a:prstGeom prst="rect">
                        <a:avLst/>
                      </a:prstGeom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47A6B">
          <w:rPr>
            <w:sz w:val="18"/>
            <w:szCs w:val="18"/>
          </w:rPr>
          <w:tab/>
        </w:r>
      </w:p>
    </w:sdtContent>
  </w:sdt>
  <w:p w:rsidR="00347A6B" w:rsidRDefault="00347A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3AD" w:rsidRDefault="009B33AD" w:rsidP="00126CD6">
      <w:r>
        <w:separator/>
      </w:r>
    </w:p>
  </w:footnote>
  <w:footnote w:type="continuationSeparator" w:id="0">
    <w:p w:rsidR="009B33AD" w:rsidRDefault="009B33AD" w:rsidP="0012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878" w:rsidRDefault="00954DC6" w:rsidP="00954DC6">
    <w:pPr>
      <w:pStyle w:val="Title"/>
    </w:pPr>
    <w:r w:rsidRPr="00E61B13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1546763" wp14:editId="2E0F2C0A">
          <wp:simplePos x="0" y="0"/>
          <wp:positionH relativeFrom="page">
            <wp:align>left</wp:align>
          </wp:positionH>
          <wp:positionV relativeFrom="paragraph">
            <wp:posOffset>-1265555</wp:posOffset>
          </wp:positionV>
          <wp:extent cx="7559038" cy="10692383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d\AppData\Local\Microsoft\Windows\INetCache\Content.Word\DoJ Template header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38" cy="10692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B1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C6" w:rsidRDefault="00E050B8" w:rsidP="00954DC6">
    <w:pPr>
      <w:pStyle w:val="Title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-469265</wp:posOffset>
          </wp:positionV>
          <wp:extent cx="1664335" cy="1348740"/>
          <wp:effectExtent l="0" t="0" r="0" b="3810"/>
          <wp:wrapTight wrapText="bothSides">
            <wp:wrapPolygon edited="0">
              <wp:start x="14092" y="0"/>
              <wp:lineTo x="247" y="9153"/>
              <wp:lineTo x="0" y="14034"/>
              <wp:lineTo x="247" y="16169"/>
              <wp:lineTo x="5439" y="19831"/>
              <wp:lineTo x="7170" y="20746"/>
              <wp:lineTo x="8900" y="21051"/>
              <wp:lineTo x="12362" y="21356"/>
              <wp:lineTo x="13598" y="21356"/>
              <wp:lineTo x="14340" y="19831"/>
              <wp:lineTo x="16317" y="19831"/>
              <wp:lineTo x="21015" y="16475"/>
              <wp:lineTo x="21262" y="13119"/>
              <wp:lineTo x="21262" y="4576"/>
              <wp:lineTo x="20273" y="0"/>
              <wp:lineTo x="14092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Colour_Honeycomb R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335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DC6" w:rsidRPr="00954DC6">
      <w:t>Document Title</w:t>
    </w:r>
    <w:r w:rsidR="00954DC6" w:rsidRPr="00E61B1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1DB"/>
    <w:multiLevelType w:val="hybridMultilevel"/>
    <w:tmpl w:val="A712D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276F3"/>
    <w:multiLevelType w:val="hybridMultilevel"/>
    <w:tmpl w:val="C780040A"/>
    <w:lvl w:ilvl="0" w:tplc="490479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32"/>
    <w:rsid w:val="00004D12"/>
    <w:rsid w:val="00046B62"/>
    <w:rsid w:val="000A343B"/>
    <w:rsid w:val="000A7603"/>
    <w:rsid w:val="000C22D3"/>
    <w:rsid w:val="00126CD6"/>
    <w:rsid w:val="001C6519"/>
    <w:rsid w:val="00220441"/>
    <w:rsid w:val="002A0ECD"/>
    <w:rsid w:val="002F1564"/>
    <w:rsid w:val="0033119D"/>
    <w:rsid w:val="00347A6B"/>
    <w:rsid w:val="003A3DB7"/>
    <w:rsid w:val="003B7BB7"/>
    <w:rsid w:val="00463BA9"/>
    <w:rsid w:val="00485438"/>
    <w:rsid w:val="004D69FF"/>
    <w:rsid w:val="0054138C"/>
    <w:rsid w:val="005F4930"/>
    <w:rsid w:val="00650476"/>
    <w:rsid w:val="00662FCB"/>
    <w:rsid w:val="00673963"/>
    <w:rsid w:val="0069142A"/>
    <w:rsid w:val="006C6643"/>
    <w:rsid w:val="006D7C8C"/>
    <w:rsid w:val="00764C11"/>
    <w:rsid w:val="0081575B"/>
    <w:rsid w:val="00891399"/>
    <w:rsid w:val="008D7E32"/>
    <w:rsid w:val="00900483"/>
    <w:rsid w:val="00954DC6"/>
    <w:rsid w:val="00994920"/>
    <w:rsid w:val="009B33AD"/>
    <w:rsid w:val="009D1878"/>
    <w:rsid w:val="00A63E57"/>
    <w:rsid w:val="00A92FFA"/>
    <w:rsid w:val="00AA1DC4"/>
    <w:rsid w:val="00B7505C"/>
    <w:rsid w:val="00B92E95"/>
    <w:rsid w:val="00BD4814"/>
    <w:rsid w:val="00BF3B9D"/>
    <w:rsid w:val="00C5092D"/>
    <w:rsid w:val="00C54C46"/>
    <w:rsid w:val="00CB2D3F"/>
    <w:rsid w:val="00CC1E45"/>
    <w:rsid w:val="00CD4CC4"/>
    <w:rsid w:val="00D176A2"/>
    <w:rsid w:val="00D336E6"/>
    <w:rsid w:val="00D74175"/>
    <w:rsid w:val="00E050B8"/>
    <w:rsid w:val="00E92E84"/>
    <w:rsid w:val="00EC7E07"/>
    <w:rsid w:val="00F33F44"/>
    <w:rsid w:val="00FC096B"/>
    <w:rsid w:val="00FC1488"/>
    <w:rsid w:val="00FD342D"/>
    <w:rsid w:val="00FE6295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08F72"/>
  <w15:chartTrackingRefBased/>
  <w15:docId w15:val="{2957D473-D5AC-4AA8-8A7A-312F727D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CD6"/>
    <w:pPr>
      <w:spacing w:after="200" w:line="240" w:lineRule="auto"/>
    </w:pPr>
    <w:rPr>
      <w:rFonts w:ascii="Gill Sans MT" w:hAnsi="Gill Sans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603"/>
    <w:pPr>
      <w:outlineLvl w:val="0"/>
    </w:pPr>
    <w:rPr>
      <w:b/>
      <w:color w:val="1D384B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6519"/>
    <w:pPr>
      <w:outlineLvl w:val="1"/>
    </w:pPr>
    <w:rPr>
      <w:color w:val="1F818E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519"/>
    <w:pPr>
      <w:keepNext/>
      <w:keepLines/>
      <w:spacing w:before="60" w:after="60"/>
      <w:outlineLvl w:val="2"/>
    </w:pPr>
    <w:rPr>
      <w:rFonts w:eastAsiaTheme="majorEastAsia" w:cstheme="majorBidi"/>
      <w:color w:val="D435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26CD6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F051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87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878"/>
  </w:style>
  <w:style w:type="paragraph" w:styleId="Footer">
    <w:name w:val="footer"/>
    <w:basedOn w:val="Normal"/>
    <w:link w:val="FooterChar"/>
    <w:uiPriority w:val="99"/>
    <w:unhideWhenUsed/>
    <w:rsid w:val="009D187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1878"/>
  </w:style>
  <w:style w:type="character" w:customStyle="1" w:styleId="Heading1Char">
    <w:name w:val="Heading 1 Char"/>
    <w:basedOn w:val="DefaultParagraphFont"/>
    <w:link w:val="Heading1"/>
    <w:uiPriority w:val="9"/>
    <w:rsid w:val="000A7603"/>
    <w:rPr>
      <w:rFonts w:ascii="Gill Sans MT" w:hAnsi="Gill Sans MT"/>
      <w:b/>
      <w:color w:val="1D384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C6519"/>
    <w:rPr>
      <w:rFonts w:ascii="Gill Sans MT" w:hAnsi="Gill Sans MT"/>
      <w:color w:val="1F818E"/>
      <w:sz w:val="32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954DC6"/>
    <w:rPr>
      <w:b w:val="0"/>
      <w:color w:val="FFFFFF" w:themeColor="background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54DC6"/>
    <w:rPr>
      <w:rFonts w:ascii="Gill Sans MT" w:hAnsi="Gill Sans MT"/>
      <w:color w:val="FFFFFF" w:themeColor="background1"/>
      <w:sz w:val="44"/>
      <w:szCs w:val="4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485438"/>
    <w:pPr>
      <w:spacing w:before="600"/>
    </w:pPr>
    <w:rPr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uiPriority w:val="11"/>
    <w:rsid w:val="00485438"/>
    <w:rPr>
      <w:rFonts w:ascii="Gill Sans MT" w:hAnsi="Gill Sans MT"/>
      <w:color w:val="FFFFFF" w:themeColor="background1"/>
      <w:sz w:val="32"/>
      <w:szCs w:val="32"/>
    </w:rPr>
  </w:style>
  <w:style w:type="paragraph" w:customStyle="1" w:styleId="Disclaimer">
    <w:name w:val="Disclaimer"/>
    <w:basedOn w:val="Normal"/>
    <w:uiPriority w:val="99"/>
    <w:rsid w:val="006C6643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</w:tabs>
      <w:autoSpaceDE w:val="0"/>
      <w:autoSpaceDN w:val="0"/>
      <w:adjustRightInd w:val="0"/>
      <w:spacing w:before="120" w:after="120"/>
      <w:textAlignment w:val="center"/>
    </w:pPr>
    <w:rPr>
      <w:rFonts w:asciiTheme="minorHAnsi" w:eastAsiaTheme="minorEastAsia" w:hAnsiTheme="minorHAnsi" w:cs="GillSans-Light"/>
      <w:color w:val="000000"/>
      <w:sz w:val="20"/>
      <w:szCs w:val="1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C6643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aps/>
      <w:color w:val="007DB7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C6643"/>
    <w:pPr>
      <w:tabs>
        <w:tab w:val="right" w:leader="dot" w:pos="10188"/>
      </w:tabs>
      <w:spacing w:before="120" w:after="0"/>
    </w:pPr>
    <w:rPr>
      <w:rFonts w:asciiTheme="majorHAnsi" w:eastAsiaTheme="minorEastAsia" w:hAnsiTheme="majorHAnsi"/>
      <w:sz w:val="4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6C6643"/>
    <w:pPr>
      <w:spacing w:after="0"/>
      <w:ind w:left="240"/>
    </w:pPr>
    <w:rPr>
      <w:rFonts w:asciiTheme="majorHAnsi" w:eastAsiaTheme="minorEastAsia" w:hAnsiTheme="majorHAnsi"/>
      <w:sz w:val="3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6C6643"/>
    <w:pPr>
      <w:spacing w:after="0"/>
      <w:ind w:left="480"/>
    </w:pPr>
    <w:rPr>
      <w:rFonts w:asciiTheme="minorHAnsi" w:eastAsiaTheme="minorEastAsia" w:hAnsiTheme="minorHAnsi"/>
      <w:sz w:val="3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unhideWhenUsed/>
    <w:rsid w:val="006C6643"/>
    <w:pPr>
      <w:spacing w:after="0"/>
      <w:ind w:left="720"/>
    </w:pPr>
    <w:rPr>
      <w:rFonts w:asciiTheme="minorHAnsi" w:eastAsiaTheme="minorEastAsia" w:hAnsiTheme="minorHAnsi"/>
      <w:sz w:val="32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C6643"/>
    <w:pPr>
      <w:spacing w:after="0"/>
      <w:ind w:left="960"/>
    </w:pPr>
    <w:rPr>
      <w:rFonts w:asciiTheme="minorHAnsi" w:eastAsiaTheme="minorEastAsia" w:hAnsiTheme="minorHAnsi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C6643"/>
    <w:pPr>
      <w:spacing w:after="0"/>
      <w:ind w:left="1200"/>
    </w:pPr>
    <w:rPr>
      <w:rFonts w:asciiTheme="minorHAnsi" w:eastAsiaTheme="minorEastAsia" w:hAnsiTheme="minorHAnsi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C6643"/>
    <w:pPr>
      <w:spacing w:after="0"/>
      <w:ind w:left="1440"/>
    </w:pPr>
    <w:rPr>
      <w:rFonts w:asciiTheme="minorHAnsi" w:eastAsiaTheme="minorEastAsia" w:hAnsiTheme="minorHAnsi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C6643"/>
    <w:pPr>
      <w:spacing w:after="0"/>
      <w:ind w:left="1680"/>
    </w:pPr>
    <w:rPr>
      <w:rFonts w:asciiTheme="minorHAnsi" w:eastAsiaTheme="minorEastAsia" w:hAnsiTheme="minorHAnsi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C6643"/>
    <w:pPr>
      <w:spacing w:after="0"/>
      <w:ind w:left="1920"/>
    </w:pPr>
    <w:rPr>
      <w:rFonts w:asciiTheme="minorHAnsi" w:eastAsiaTheme="minorEastAsia" w:hAnsiTheme="minorHAnsi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C6519"/>
    <w:rPr>
      <w:rFonts w:ascii="Gill Sans MT" w:eastAsiaTheme="majorEastAsia" w:hAnsi="Gill Sans MT" w:cstheme="majorBidi"/>
      <w:color w:val="D435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26CD6"/>
    <w:rPr>
      <w:rFonts w:ascii="Gill Sans MT" w:eastAsiaTheme="majorEastAsia" w:hAnsi="Gill Sans MT" w:cstheme="majorBidi"/>
      <w:i/>
      <w:iCs/>
      <w:color w:val="F05124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C46"/>
    <w:pPr>
      <w:pBdr>
        <w:top w:val="single" w:sz="4" w:space="6" w:color="2F5496" w:themeColor="accent5" w:themeShade="BF"/>
        <w:bottom w:val="single" w:sz="4" w:space="6" w:color="2F5496" w:themeColor="accent5" w:themeShade="BF"/>
      </w:pBdr>
      <w:spacing w:before="360" w:after="360"/>
      <w:ind w:left="936" w:right="936"/>
    </w:pPr>
    <w:rPr>
      <w:rFonts w:eastAsiaTheme="minorEastAsia"/>
      <w:bCs/>
      <w:i/>
      <w:iCs/>
      <w:color w:val="00A5BB"/>
      <w:sz w:val="32"/>
      <w:lang w:val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C46"/>
    <w:rPr>
      <w:rFonts w:ascii="Gill Sans MT" w:eastAsiaTheme="minorEastAsia" w:hAnsi="Gill Sans MT"/>
      <w:bCs/>
      <w:i/>
      <w:iCs/>
      <w:color w:val="00A5BB"/>
      <w:sz w:val="32"/>
      <w:szCs w:val="24"/>
      <w:lang w:val="en-US"/>
      <w14:textOutline w14:w="9525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26CD6"/>
    <w:pPr>
      <w:numPr>
        <w:numId w:val="1"/>
      </w:numPr>
      <w:spacing w:before="120" w:after="120"/>
      <w:ind w:left="284" w:hanging="284"/>
      <w:contextualSpacing/>
    </w:pPr>
    <w:rPr>
      <w:rFonts w:eastAsiaTheme="minorEastAsia"/>
      <w:lang w:val="en-US"/>
    </w:rPr>
  </w:style>
  <w:style w:type="paragraph" w:customStyle="1" w:styleId="BasicParagraph">
    <w:name w:val="[Basic Paragraph]"/>
    <w:basedOn w:val="Normal"/>
    <w:uiPriority w:val="99"/>
    <w:rsid w:val="00FC096B"/>
    <w:pPr>
      <w:autoSpaceDE w:val="0"/>
      <w:autoSpaceDN w:val="0"/>
      <w:adjustRightInd w:val="0"/>
      <w:spacing w:line="280" w:lineRule="atLeast"/>
      <w:textAlignment w:val="center"/>
    </w:pPr>
    <w:rPr>
      <w:rFonts w:ascii="Gill Sans Nova Light" w:hAnsi="Gill Sans Nova Light" w:cs="Gill Sans Nova Light"/>
      <w:color w:val="000000"/>
      <w:lang w:val="en-US"/>
    </w:rPr>
  </w:style>
  <w:style w:type="character" w:styleId="IntenseEmphasis">
    <w:name w:val="Intense Emphasis"/>
    <w:basedOn w:val="DefaultParagraphFont"/>
    <w:uiPriority w:val="21"/>
    <w:qFormat/>
    <w:rsid w:val="00BF3B9D"/>
    <w:rPr>
      <w:iCs/>
      <w:color w:val="00A5BB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BF3B9D"/>
    <w:pPr>
      <w:spacing w:after="0"/>
    </w:pPr>
    <w:rPr>
      <w:rFonts w:asciiTheme="minorHAnsi" w:hAnsiTheme="minorHAnsi" w:cs="Times New Roman (Body CS)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3B9D"/>
    <w:rPr>
      <w:rFonts w:cs="Times New Roman (Body CS)"/>
      <w:sz w:val="20"/>
      <w:szCs w:val="20"/>
    </w:rPr>
  </w:style>
  <w:style w:type="table" w:customStyle="1" w:styleId="ListTable41">
    <w:name w:val="List Table 41"/>
    <w:basedOn w:val="TableNormal"/>
    <w:uiPriority w:val="49"/>
    <w:rsid w:val="003A3DB7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">
    <w:name w:val="Table Heading"/>
    <w:basedOn w:val="Normal"/>
    <w:link w:val="TableHeadingChar"/>
    <w:qFormat/>
    <w:rsid w:val="003A3DB7"/>
    <w:pPr>
      <w:spacing w:after="0"/>
    </w:pPr>
    <w:rPr>
      <w:b/>
      <w:bCs/>
      <w:color w:val="FFFFFF" w:themeColor="background1"/>
      <w:lang w:val="en-GB"/>
    </w:rPr>
  </w:style>
  <w:style w:type="paragraph" w:customStyle="1" w:styleId="Tabletext">
    <w:name w:val="Table text"/>
    <w:basedOn w:val="Normal"/>
    <w:link w:val="TabletextChar"/>
    <w:qFormat/>
    <w:rsid w:val="003A3DB7"/>
    <w:pPr>
      <w:spacing w:after="0"/>
    </w:pPr>
    <w:rPr>
      <w:bCs/>
      <w:lang w:val="en-GB"/>
    </w:rPr>
  </w:style>
  <w:style w:type="character" w:customStyle="1" w:styleId="TableHeadingChar">
    <w:name w:val="Table Heading Char"/>
    <w:basedOn w:val="DefaultParagraphFont"/>
    <w:link w:val="TableHeading"/>
    <w:rsid w:val="003A3DB7"/>
    <w:rPr>
      <w:rFonts w:ascii="Gill Sans MT" w:hAnsi="Gill Sans MT"/>
      <w:b/>
      <w:bCs/>
      <w:color w:val="FFFFFF" w:themeColor="background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2F1564"/>
    <w:rPr>
      <w:color w:val="0563C1" w:themeColor="hyperlink"/>
      <w:u w:val="single"/>
    </w:rPr>
  </w:style>
  <w:style w:type="character" w:customStyle="1" w:styleId="TabletextChar">
    <w:name w:val="Table text Char"/>
    <w:basedOn w:val="DefaultParagraphFont"/>
    <w:link w:val="Tabletext"/>
    <w:rsid w:val="003A3DB7"/>
    <w:rPr>
      <w:rFonts w:ascii="Gill Sans MT" w:hAnsi="Gill Sans MT"/>
      <w:bCs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D176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[department].tas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[department].tas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m\Downloads\A4-Info-Sheet-Style-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A4-Info-Sheet-Style-1-template.dotx</Template>
  <TotalTime>3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Alice</dc:creator>
  <cp:keywords/>
  <dc:description/>
  <cp:lastModifiedBy>Morris, Alice</cp:lastModifiedBy>
  <cp:revision>3</cp:revision>
  <dcterms:created xsi:type="dcterms:W3CDTF">2022-04-27T05:09:00Z</dcterms:created>
  <dcterms:modified xsi:type="dcterms:W3CDTF">2022-04-27T05:16:00Z</dcterms:modified>
</cp:coreProperties>
</file>