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2" w:rsidRPr="004C3647" w:rsidRDefault="007A701A" w:rsidP="004C3647">
      <w:pPr>
        <w:pStyle w:val="Title"/>
      </w:pPr>
      <w:r>
        <w:t>Right to Information Policy</w:t>
      </w:r>
    </w:p>
    <w:p w:rsidR="00311C85" w:rsidRDefault="00311C85" w:rsidP="004B4852">
      <w:pPr>
        <w:pStyle w:val="Subtitle"/>
      </w:pPr>
      <w:r>
        <w:t>February 2019</w:t>
      </w:r>
    </w:p>
    <w:p w:rsidR="00311C85" w:rsidRPr="00311C85" w:rsidRDefault="00311C85" w:rsidP="00311C85"/>
    <w:p w:rsidR="00311C85" w:rsidRPr="00311C85" w:rsidRDefault="00311C85" w:rsidP="00311C85">
      <w:bookmarkStart w:id="0" w:name="_GoBack"/>
      <w:bookmarkEnd w:id="0"/>
    </w:p>
    <w:p w:rsidR="00311C85" w:rsidRDefault="00311C85" w:rsidP="00311C85"/>
    <w:p w:rsidR="00311C85" w:rsidRDefault="00311C85" w:rsidP="00311C85">
      <w:pPr>
        <w:jc w:val="center"/>
      </w:pPr>
    </w:p>
    <w:p w:rsidR="004B4852" w:rsidRPr="00311C85" w:rsidRDefault="00311C85" w:rsidP="00311C85">
      <w:pPr>
        <w:tabs>
          <w:tab w:val="center" w:pos="4513"/>
        </w:tabs>
        <w:sectPr w:rsidR="004B4852" w:rsidRPr="00311C85" w:rsidSect="00D557E9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227" w:gutter="0"/>
          <w:cols w:space="708"/>
          <w:titlePg/>
          <w:docGrid w:linePitch="360"/>
        </w:sectPr>
      </w:pPr>
      <w:r>
        <w:tab/>
      </w:r>
    </w:p>
    <w:sdt>
      <w:sdtPr>
        <w:rPr>
          <w:rFonts w:eastAsiaTheme="minorHAnsi" w:cstheme="minorBidi"/>
          <w:bCs w:val="0"/>
          <w:color w:val="auto"/>
          <w:sz w:val="24"/>
          <w:szCs w:val="22"/>
          <w:lang w:val="en-AU" w:eastAsia="en-US"/>
        </w:rPr>
        <w:id w:val="-580753286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A57902" w:rsidRPr="003D28C2" w:rsidRDefault="00A57902">
          <w:pPr>
            <w:pStyle w:val="TOCHeading"/>
            <w:rPr>
              <w:lang w:val="en-AU"/>
            </w:rPr>
          </w:pPr>
          <w:r w:rsidRPr="003D28C2">
            <w:rPr>
              <w:lang w:val="en-AU"/>
            </w:rPr>
            <w:t>Contents</w:t>
          </w:r>
        </w:p>
        <w:p w:rsidR="004612D0" w:rsidRDefault="00A57902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r w:rsidRPr="003D28C2">
            <w:fldChar w:fldCharType="begin"/>
          </w:r>
          <w:r w:rsidRPr="003D28C2">
            <w:instrText xml:space="preserve"> TOC \o "1-3" \h \z \u </w:instrText>
          </w:r>
          <w:r w:rsidRPr="003D28C2">
            <w:fldChar w:fldCharType="separate"/>
          </w:r>
          <w:hyperlink w:anchor="_Toc342206" w:history="1">
            <w:r w:rsidR="004612D0" w:rsidRPr="009B684C">
              <w:rPr>
                <w:rStyle w:val="Hyperlink"/>
                <w:noProof/>
                <w:spacing w:val="60"/>
              </w:rPr>
              <w:t>1.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Purpose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_Toc342206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3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07" w:history="1">
            <w:r w:rsidR="004612D0" w:rsidRPr="009B684C">
              <w:rPr>
                <w:rStyle w:val="Hyperlink"/>
                <w:noProof/>
                <w:spacing w:val="60"/>
              </w:rPr>
              <w:t>2.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Policy Statement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_Toc342207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3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08" w:history="1">
            <w:r w:rsidR="004612D0" w:rsidRPr="009B684C">
              <w:rPr>
                <w:rStyle w:val="Hyperlink"/>
                <w:noProof/>
                <w:spacing w:val="60"/>
              </w:rPr>
              <w:t>3.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Scope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_Toc342208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3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09" w:history="1">
            <w:r w:rsidR="004612D0" w:rsidRPr="009B684C">
              <w:rPr>
                <w:rStyle w:val="Hyperlink"/>
                <w:noProof/>
                <w:spacing w:val="60"/>
              </w:rPr>
              <w:t>4.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Legislation and Documents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_Toc342209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4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10" w:history="1">
            <w:r w:rsidR="004612D0" w:rsidRPr="009B684C">
              <w:rPr>
                <w:rStyle w:val="Hyperlink"/>
                <w:noProof/>
                <w:spacing w:val="60"/>
              </w:rPr>
              <w:t>5.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Definitions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_Toc342210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4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11" w:history="1">
            <w:r w:rsidR="004612D0" w:rsidRPr="009B684C">
              <w:rPr>
                <w:rStyle w:val="Hyperlink"/>
                <w:noProof/>
                <w:spacing w:val="60"/>
              </w:rPr>
              <w:t>6.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Responsibilities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_Toc342211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5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4612D0" w:rsidRDefault="008E0091">
          <w:pPr>
            <w:pStyle w:val="TOC1"/>
            <w:rPr>
              <w:rFonts w:asciiTheme="minorHAnsi" w:eastAsiaTheme="minorEastAsia" w:hAnsiTheme="minorHAnsi"/>
              <w:noProof/>
              <w:sz w:val="22"/>
              <w:lang w:eastAsia="en-AU"/>
            </w:rPr>
          </w:pPr>
          <w:hyperlink w:anchor="_Toc342212" w:history="1">
            <w:r w:rsidR="004612D0" w:rsidRPr="009B684C">
              <w:rPr>
                <w:rStyle w:val="Hyperlink"/>
                <w:noProof/>
                <w:spacing w:val="60"/>
              </w:rPr>
              <w:t>7.</w:t>
            </w:r>
            <w:r w:rsidR="004612D0">
              <w:rPr>
                <w:rFonts w:asciiTheme="minorHAnsi" w:eastAsiaTheme="minorEastAsia" w:hAnsiTheme="minorHAnsi"/>
                <w:noProof/>
                <w:sz w:val="22"/>
                <w:lang w:eastAsia="en-AU"/>
              </w:rPr>
              <w:tab/>
            </w:r>
            <w:r w:rsidR="004612D0" w:rsidRPr="009B684C">
              <w:rPr>
                <w:rStyle w:val="Hyperlink"/>
                <w:noProof/>
              </w:rPr>
              <w:t>Procedures</w:t>
            </w:r>
            <w:r w:rsidR="004612D0">
              <w:rPr>
                <w:noProof/>
                <w:webHidden/>
              </w:rPr>
              <w:tab/>
            </w:r>
            <w:r w:rsidR="004612D0">
              <w:rPr>
                <w:noProof/>
                <w:webHidden/>
              </w:rPr>
              <w:fldChar w:fldCharType="begin"/>
            </w:r>
            <w:r w:rsidR="004612D0">
              <w:rPr>
                <w:noProof/>
                <w:webHidden/>
              </w:rPr>
              <w:instrText xml:space="preserve"> PAGEREF _Toc342212 \h </w:instrText>
            </w:r>
            <w:r w:rsidR="004612D0">
              <w:rPr>
                <w:noProof/>
                <w:webHidden/>
              </w:rPr>
            </w:r>
            <w:r w:rsidR="004612D0">
              <w:rPr>
                <w:noProof/>
                <w:webHidden/>
              </w:rPr>
              <w:fldChar w:fldCharType="separate"/>
            </w:r>
            <w:r w:rsidR="004612D0">
              <w:rPr>
                <w:noProof/>
                <w:webHidden/>
              </w:rPr>
              <w:t>7</w:t>
            </w:r>
            <w:r w:rsidR="004612D0">
              <w:rPr>
                <w:noProof/>
                <w:webHidden/>
              </w:rPr>
              <w:fldChar w:fldCharType="end"/>
            </w:r>
          </w:hyperlink>
        </w:p>
        <w:p w:rsidR="00E5042E" w:rsidRPr="003D28C2" w:rsidRDefault="00A57902" w:rsidP="00B640D1">
          <w:pPr>
            <w:pStyle w:val="TOC1"/>
          </w:pPr>
          <w:r w:rsidRPr="003D28C2">
            <w:rPr>
              <w:b/>
              <w:bCs/>
            </w:rPr>
            <w:fldChar w:fldCharType="end"/>
          </w:r>
        </w:p>
      </w:sdtContent>
    </w:sdt>
    <w:p w:rsidR="00FD2822" w:rsidRPr="003D28C2" w:rsidRDefault="00FD2822" w:rsidP="004C7949">
      <w:pPr>
        <w:sectPr w:rsidR="00FD2822" w:rsidRPr="003D28C2" w:rsidSect="004B4852">
          <w:pgSz w:w="11906" w:h="16838"/>
          <w:pgMar w:top="1701" w:right="1440" w:bottom="1440" w:left="1440" w:header="709" w:footer="709" w:gutter="0"/>
          <w:cols w:space="708"/>
          <w:docGrid w:linePitch="360"/>
        </w:sectPr>
      </w:pPr>
    </w:p>
    <w:p w:rsidR="00FD2822" w:rsidRPr="003D28C2" w:rsidRDefault="00FD2822" w:rsidP="00FD2822">
      <w:pPr>
        <w:pStyle w:val="Heading1"/>
      </w:pPr>
      <w:bookmarkStart w:id="1" w:name="_Toc466384243"/>
      <w:bookmarkStart w:id="2" w:name="_Toc342206"/>
      <w:r w:rsidRPr="003D28C2">
        <w:lastRenderedPageBreak/>
        <w:t>Purpose</w:t>
      </w:r>
      <w:bookmarkEnd w:id="1"/>
      <w:bookmarkEnd w:id="2"/>
    </w:p>
    <w:p w:rsidR="007A701A" w:rsidRPr="003D28C2" w:rsidRDefault="00A57902" w:rsidP="00A57902">
      <w:r w:rsidRPr="003D28C2">
        <w:t>T</w:t>
      </w:r>
      <w:r w:rsidR="007A701A">
        <w:t xml:space="preserve">he purpose of this policy is </w:t>
      </w:r>
      <w:r w:rsidR="001C0038">
        <w:t xml:space="preserve">to </w:t>
      </w:r>
      <w:r w:rsidR="00987F5E">
        <w:t>establish a framework for</w:t>
      </w:r>
      <w:r w:rsidR="00A76DFF">
        <w:t xml:space="preserve"> the disclosure of information by</w:t>
      </w:r>
      <w:r w:rsidR="00017BFD">
        <w:t xml:space="preserve"> </w:t>
      </w:r>
      <w:r w:rsidR="00A76DFF">
        <w:t>the DoJ to m</w:t>
      </w:r>
      <w:r w:rsidR="007A701A">
        <w:t>embers of the public and others</w:t>
      </w:r>
      <w:r w:rsidR="00987F5E">
        <w:t xml:space="preserve"> in accordance with the Right to Information Act 2009.</w:t>
      </w:r>
    </w:p>
    <w:p w:rsidR="00A57902" w:rsidRPr="003D28C2" w:rsidRDefault="00A57902" w:rsidP="00A57902">
      <w:pPr>
        <w:pStyle w:val="Heading1"/>
      </w:pPr>
      <w:bookmarkStart w:id="3" w:name="_Toc342207"/>
      <w:r w:rsidRPr="003D28C2">
        <w:t>Policy Statement</w:t>
      </w:r>
      <w:bookmarkEnd w:id="3"/>
    </w:p>
    <w:p w:rsidR="00A57902" w:rsidRDefault="00A57902" w:rsidP="00A57902">
      <w:r w:rsidRPr="003D28C2">
        <w:t xml:space="preserve">The DoJ </w:t>
      </w:r>
      <w:r w:rsidR="00A76DFF">
        <w:t>will dis</w:t>
      </w:r>
      <w:r w:rsidR="00590895">
        <w:t>close information that it holds in accordance with the</w:t>
      </w:r>
      <w:r w:rsidR="008D2A6E">
        <w:t xml:space="preserve"> principles in the</w:t>
      </w:r>
      <w:r w:rsidR="00590895">
        <w:t xml:space="preserve"> Right to Information Act 2009</w:t>
      </w:r>
      <w:r w:rsidR="00082F3A">
        <w:t xml:space="preserve"> (the Act)</w:t>
      </w:r>
      <w:r w:rsidR="00AE3C1A">
        <w:t>.</w:t>
      </w:r>
    </w:p>
    <w:p w:rsidR="008D2A6E" w:rsidRDefault="00987F5E" w:rsidP="00A57902">
      <w:r>
        <w:t>This includes ensuring that the DoJ has adequate process</w:t>
      </w:r>
      <w:r w:rsidR="0061093B">
        <w:t>es</w:t>
      </w:r>
      <w:r>
        <w:t xml:space="preserve"> and procedures in place to ensure that there is appropriate active, routine and required disclosure of information and that assessed disclosure of information is used as a method of last resort only.</w:t>
      </w:r>
    </w:p>
    <w:p w:rsidR="00987F5E" w:rsidRDefault="007A701A" w:rsidP="00A57902">
      <w:r>
        <w:t>Under s 23 of the Act, the DoJ has an obligation to</w:t>
      </w:r>
      <w:r w:rsidR="00987F5E">
        <w:t>:</w:t>
      </w:r>
    </w:p>
    <w:p w:rsidR="008D2A6E" w:rsidRDefault="007A701A" w:rsidP="00987F5E">
      <w:pPr>
        <w:pStyle w:val="ListParagraph"/>
        <w:numPr>
          <w:ilvl w:val="0"/>
          <w:numId w:val="10"/>
        </w:numPr>
      </w:pPr>
      <w:r>
        <w:t>develop policies and procedures in relation to the disclosure of information</w:t>
      </w:r>
      <w:r w:rsidR="00987F5E">
        <w:t>; and</w:t>
      </w:r>
    </w:p>
    <w:p w:rsidR="00987F5E" w:rsidRDefault="00987F5E" w:rsidP="00987F5E">
      <w:pPr>
        <w:pStyle w:val="ListParagraph"/>
        <w:numPr>
          <w:ilvl w:val="0"/>
          <w:numId w:val="10"/>
        </w:numPr>
      </w:pPr>
      <w:r>
        <w:t>publish details of the Act and the way in which people can exercise their rights under it</w:t>
      </w:r>
      <w:r w:rsidR="00101068">
        <w:t>.</w:t>
      </w:r>
    </w:p>
    <w:p w:rsidR="00A57902" w:rsidRPr="003D28C2" w:rsidRDefault="00A57902" w:rsidP="00A57902">
      <w:pPr>
        <w:pStyle w:val="Heading1"/>
      </w:pPr>
      <w:bookmarkStart w:id="4" w:name="_Toc342208"/>
      <w:r w:rsidRPr="003D28C2">
        <w:t>Scope</w:t>
      </w:r>
      <w:bookmarkEnd w:id="4"/>
    </w:p>
    <w:p w:rsidR="00A57902" w:rsidRDefault="00A57902" w:rsidP="00A57902">
      <w:r w:rsidRPr="003D28C2">
        <w:t>This polic</w:t>
      </w:r>
      <w:r w:rsidR="00231373">
        <w:t>y applies to all DoJ employees and officers</w:t>
      </w:r>
      <w:r w:rsidRPr="003D28C2">
        <w:t>.</w:t>
      </w:r>
      <w:r w:rsidR="00DC093B">
        <w:t xml:space="preserve"> In certain circumstances, the p</w:t>
      </w:r>
      <w:r w:rsidR="007A701A">
        <w:t>o</w:t>
      </w:r>
      <w:r w:rsidR="00DC093B">
        <w:t xml:space="preserve">licy may also </w:t>
      </w:r>
      <w:r w:rsidR="007A701A">
        <w:t>apply</w:t>
      </w:r>
      <w:r w:rsidR="00DC093B">
        <w:t xml:space="preserve"> to information held by third parties</w:t>
      </w:r>
      <w:r w:rsidR="007A701A">
        <w:t xml:space="preserve"> engaged by the DoJ</w:t>
      </w:r>
      <w:r w:rsidR="00DC093B">
        <w:t xml:space="preserve"> such as contractors and consultants</w:t>
      </w:r>
      <w:r w:rsidR="00595006">
        <w:t>.</w:t>
      </w:r>
    </w:p>
    <w:p w:rsidR="00DC093B" w:rsidRDefault="00DC093B" w:rsidP="00DC093B">
      <w:r>
        <w:t xml:space="preserve">This policy </w:t>
      </w:r>
      <w:r w:rsidR="007A701A">
        <w:t xml:space="preserve">covers </w:t>
      </w:r>
      <w:r>
        <w:t>the four types of information disclosure identified in the Act:</w:t>
      </w:r>
    </w:p>
    <w:p w:rsidR="00DC093B" w:rsidRDefault="00DC093B" w:rsidP="00DC093B">
      <w:pPr>
        <w:pStyle w:val="ListParagraph"/>
        <w:numPr>
          <w:ilvl w:val="0"/>
          <w:numId w:val="9"/>
        </w:numPr>
      </w:pPr>
      <w:r>
        <w:t>required disclosure;</w:t>
      </w:r>
    </w:p>
    <w:p w:rsidR="00DC093B" w:rsidRDefault="00DC093B" w:rsidP="00DC093B">
      <w:pPr>
        <w:pStyle w:val="ListParagraph"/>
        <w:numPr>
          <w:ilvl w:val="0"/>
          <w:numId w:val="9"/>
        </w:numPr>
      </w:pPr>
      <w:r>
        <w:t>routine disclosure;</w:t>
      </w:r>
    </w:p>
    <w:p w:rsidR="00DC093B" w:rsidRDefault="00DC093B" w:rsidP="00DC093B">
      <w:pPr>
        <w:pStyle w:val="ListParagraph"/>
        <w:numPr>
          <w:ilvl w:val="0"/>
          <w:numId w:val="9"/>
        </w:numPr>
      </w:pPr>
      <w:r>
        <w:t>active disclosure; and</w:t>
      </w:r>
    </w:p>
    <w:p w:rsidR="00DC093B" w:rsidRDefault="00DC093B" w:rsidP="00DC093B">
      <w:pPr>
        <w:pStyle w:val="ListParagraph"/>
        <w:numPr>
          <w:ilvl w:val="0"/>
          <w:numId w:val="9"/>
        </w:numPr>
      </w:pPr>
      <w:r>
        <w:t>assessed disclosure.</w:t>
      </w:r>
    </w:p>
    <w:p w:rsidR="00D378B6" w:rsidRDefault="00D04DE4" w:rsidP="00D378B6">
      <w:r>
        <w:t>This policy</w:t>
      </w:r>
      <w:r w:rsidR="00D378B6">
        <w:t xml:space="preserve"> applies to public authorities </w:t>
      </w:r>
      <w:r>
        <w:t>for which the DoJ has administrative responsibility, but are classified as being separate to the DoJ for the purpose of the Act.</w:t>
      </w:r>
    </w:p>
    <w:p w:rsidR="007447A1" w:rsidRDefault="007447A1" w:rsidP="00D378B6">
      <w:r>
        <w:lastRenderedPageBreak/>
        <w:t xml:space="preserve">This policy does not apply to requests </w:t>
      </w:r>
      <w:r w:rsidRPr="007447A1">
        <w:t>for personal information by an individual to whom t</w:t>
      </w:r>
      <w:r>
        <w:t xml:space="preserve">he personal information relates. Such requests </w:t>
      </w:r>
      <w:r w:rsidRPr="007447A1">
        <w:t>should be dealt with under the Personal Information Protection Act 2004</w:t>
      </w:r>
      <w:r w:rsidR="007C04DC">
        <w:t xml:space="preserve"> in the first instance</w:t>
      </w:r>
      <w:r w:rsidRPr="007447A1">
        <w:t>.</w:t>
      </w:r>
    </w:p>
    <w:p w:rsidR="00A57902" w:rsidRPr="003D28C2" w:rsidRDefault="00A57902" w:rsidP="00A57902">
      <w:pPr>
        <w:pStyle w:val="Heading1"/>
      </w:pPr>
      <w:bookmarkStart w:id="5" w:name="_Toc342209"/>
      <w:r w:rsidRPr="003D28C2">
        <w:t>Legislation and Documents</w:t>
      </w:r>
      <w:bookmarkEnd w:id="5"/>
    </w:p>
    <w:p w:rsidR="00A76DFF" w:rsidRDefault="00A76DFF" w:rsidP="00A57902">
      <w:pPr>
        <w:pStyle w:val="ListParagraph"/>
        <w:numPr>
          <w:ilvl w:val="0"/>
          <w:numId w:val="8"/>
        </w:numPr>
      </w:pPr>
      <w:r>
        <w:t>Personal Information Protection Act 2004</w:t>
      </w:r>
    </w:p>
    <w:p w:rsidR="00A76DFF" w:rsidRDefault="00A76DFF" w:rsidP="00A57902">
      <w:pPr>
        <w:pStyle w:val="ListParagraph"/>
        <w:numPr>
          <w:ilvl w:val="0"/>
          <w:numId w:val="8"/>
        </w:numPr>
      </w:pPr>
      <w:r>
        <w:t>Right to Information Act 2009 and associated regulations</w:t>
      </w:r>
    </w:p>
    <w:p w:rsidR="00A76DFF" w:rsidRDefault="00A76DFF" w:rsidP="00A57902">
      <w:pPr>
        <w:pStyle w:val="ListParagraph"/>
        <w:numPr>
          <w:ilvl w:val="0"/>
          <w:numId w:val="8"/>
        </w:numPr>
      </w:pPr>
      <w:r>
        <w:t>Ombudsman Tasmania</w:t>
      </w:r>
      <w:r w:rsidR="00C72710">
        <w:t>’s</w:t>
      </w:r>
      <w:r>
        <w:t xml:space="preserve"> Right to Information Manual</w:t>
      </w:r>
    </w:p>
    <w:p w:rsidR="00C72710" w:rsidRDefault="00C72710" w:rsidP="00A57902">
      <w:pPr>
        <w:pStyle w:val="ListParagraph"/>
        <w:numPr>
          <w:ilvl w:val="0"/>
          <w:numId w:val="8"/>
        </w:numPr>
      </w:pPr>
      <w:r>
        <w:t>Ombudsman Tasmania’s Guideline 2/2010 – Refusal of an application for assessed disclosure</w:t>
      </w:r>
    </w:p>
    <w:p w:rsidR="00C72710" w:rsidRDefault="00C72710" w:rsidP="00A57902">
      <w:pPr>
        <w:pStyle w:val="ListParagraph"/>
        <w:numPr>
          <w:ilvl w:val="0"/>
          <w:numId w:val="8"/>
        </w:numPr>
      </w:pPr>
      <w:r>
        <w:t>Ombudsman Tasmania’s Guideline 3/2010 – Process for disclosing information</w:t>
      </w:r>
    </w:p>
    <w:p w:rsidR="00C72710" w:rsidRDefault="00C72710" w:rsidP="00A57902">
      <w:pPr>
        <w:pStyle w:val="ListParagraph"/>
        <w:numPr>
          <w:ilvl w:val="0"/>
          <w:numId w:val="8"/>
        </w:numPr>
      </w:pPr>
      <w:r>
        <w:t>Ombudsman Tasmania’s Guideline 4/2010 – Searching and locating information</w:t>
      </w:r>
    </w:p>
    <w:p w:rsidR="00C72710" w:rsidRDefault="00C72710" w:rsidP="00A57902">
      <w:pPr>
        <w:pStyle w:val="ListParagraph"/>
        <w:numPr>
          <w:ilvl w:val="0"/>
          <w:numId w:val="8"/>
        </w:numPr>
      </w:pPr>
      <w:r>
        <w:t>Ombudsman Tasmania’s Guideline 1/2012 – Charges for information</w:t>
      </w:r>
    </w:p>
    <w:p w:rsidR="00C72710" w:rsidRPr="003D28C2" w:rsidRDefault="00C72710" w:rsidP="00A57902">
      <w:pPr>
        <w:pStyle w:val="ListParagraph"/>
        <w:numPr>
          <w:ilvl w:val="0"/>
          <w:numId w:val="8"/>
        </w:numPr>
      </w:pPr>
      <w:r>
        <w:t>Ombudsman Tasmania’s Guideline 1/2013 – Distinguishing between information and a document</w:t>
      </w:r>
    </w:p>
    <w:p w:rsidR="00934419" w:rsidRDefault="00A57902" w:rsidP="00A57902">
      <w:pPr>
        <w:pStyle w:val="Heading1"/>
      </w:pPr>
      <w:bookmarkStart w:id="6" w:name="_Toc342210"/>
      <w:r w:rsidRPr="003D28C2">
        <w:t>Definitions</w:t>
      </w:r>
      <w:bookmarkEnd w:id="6"/>
    </w:p>
    <w:p w:rsidR="00934419" w:rsidRPr="00934419" w:rsidRDefault="00934419" w:rsidP="00934419">
      <w:r w:rsidRPr="00934419">
        <w:rPr>
          <w:b/>
        </w:rPr>
        <w:t>Act</w:t>
      </w:r>
      <w:r>
        <w:t xml:space="preserve"> means the Right to Information Act 2009</w:t>
      </w:r>
      <w:r w:rsidR="0061093B">
        <w:t>.</w:t>
      </w:r>
    </w:p>
    <w:p w:rsidR="002F609B" w:rsidRDefault="002F609B" w:rsidP="00A57902">
      <w:pPr>
        <w:rPr>
          <w:sz w:val="23"/>
          <w:szCs w:val="23"/>
        </w:rPr>
      </w:pPr>
      <w:r w:rsidRPr="002F609B">
        <w:rPr>
          <w:b/>
          <w:sz w:val="23"/>
          <w:szCs w:val="23"/>
        </w:rPr>
        <w:t>Active disclosure</w:t>
      </w:r>
      <w:r>
        <w:rPr>
          <w:sz w:val="23"/>
          <w:szCs w:val="23"/>
        </w:rPr>
        <w:t xml:space="preserve"> means </w:t>
      </w:r>
      <w:r w:rsidRPr="002F609B">
        <w:rPr>
          <w:sz w:val="23"/>
          <w:szCs w:val="23"/>
        </w:rPr>
        <w:t>a disclosure of information by a public authority or a Minister in response to a request from a person made otherwise than under Division 2 of Part 2</w:t>
      </w:r>
      <w:r>
        <w:rPr>
          <w:sz w:val="23"/>
          <w:szCs w:val="23"/>
        </w:rPr>
        <w:t xml:space="preserve"> </w:t>
      </w:r>
      <w:r w:rsidR="00231373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231373">
        <w:rPr>
          <w:sz w:val="23"/>
          <w:szCs w:val="23"/>
        </w:rPr>
        <w:t>i.</w:t>
      </w:r>
      <w:r>
        <w:rPr>
          <w:sz w:val="23"/>
          <w:szCs w:val="23"/>
        </w:rPr>
        <w:t>e. the voluntary release of information on receipt of a request</w:t>
      </w:r>
      <w:r w:rsidR="00FD5380">
        <w:rPr>
          <w:sz w:val="23"/>
          <w:szCs w:val="23"/>
        </w:rPr>
        <w:t xml:space="preserve"> without the need for an application for assessed disclosure</w:t>
      </w:r>
      <w:r>
        <w:rPr>
          <w:sz w:val="23"/>
          <w:szCs w:val="23"/>
        </w:rPr>
        <w:t>.</w:t>
      </w:r>
    </w:p>
    <w:p w:rsidR="002F609B" w:rsidRDefault="002F609B" w:rsidP="002F609B">
      <w:pPr>
        <w:tabs>
          <w:tab w:val="left" w:pos="3299"/>
        </w:tabs>
        <w:rPr>
          <w:sz w:val="23"/>
          <w:szCs w:val="23"/>
        </w:rPr>
      </w:pPr>
      <w:r w:rsidRPr="002F609B">
        <w:rPr>
          <w:b/>
          <w:sz w:val="23"/>
          <w:szCs w:val="23"/>
        </w:rPr>
        <w:t>Assessed disclosure</w:t>
      </w:r>
      <w:r>
        <w:rPr>
          <w:sz w:val="23"/>
          <w:szCs w:val="23"/>
        </w:rPr>
        <w:t xml:space="preserve"> means </w:t>
      </w:r>
      <w:r w:rsidRPr="002F609B">
        <w:rPr>
          <w:sz w:val="23"/>
          <w:szCs w:val="23"/>
        </w:rPr>
        <w:t>a disclosure of information by a public authority or a Minister in response to an application in accordance with section 13</w:t>
      </w:r>
      <w:r>
        <w:rPr>
          <w:sz w:val="23"/>
          <w:szCs w:val="23"/>
        </w:rPr>
        <w:t xml:space="preserve">. </w:t>
      </w:r>
      <w:r>
        <w:t>Assessed disclosure is the method of last resort</w:t>
      </w:r>
      <w:r w:rsidR="002E3D57">
        <w:t>.</w:t>
      </w:r>
    </w:p>
    <w:p w:rsidR="002F609B" w:rsidRDefault="002F609B" w:rsidP="00A57902">
      <w:pPr>
        <w:rPr>
          <w:sz w:val="23"/>
          <w:szCs w:val="23"/>
        </w:rPr>
      </w:pPr>
      <w:r w:rsidRPr="002F609B">
        <w:rPr>
          <w:b/>
          <w:sz w:val="23"/>
          <w:szCs w:val="23"/>
        </w:rPr>
        <w:t>Delegated officer</w:t>
      </w:r>
      <w:r>
        <w:rPr>
          <w:sz w:val="23"/>
          <w:szCs w:val="23"/>
        </w:rPr>
        <w:t xml:space="preserve"> means</w:t>
      </w:r>
      <w:r w:rsidR="00934419">
        <w:rPr>
          <w:sz w:val="23"/>
          <w:szCs w:val="23"/>
        </w:rPr>
        <w:t xml:space="preserve"> an officer delegated by the principle officer under s 24 of the Act to exercise any of the principle officer’s functions or duties.</w:t>
      </w:r>
    </w:p>
    <w:p w:rsidR="002F609B" w:rsidRDefault="002F609B" w:rsidP="00A57902">
      <w:pPr>
        <w:rPr>
          <w:sz w:val="23"/>
          <w:szCs w:val="23"/>
        </w:rPr>
      </w:pPr>
      <w:r w:rsidRPr="002F609B">
        <w:rPr>
          <w:b/>
          <w:sz w:val="23"/>
          <w:szCs w:val="23"/>
        </w:rPr>
        <w:t>Exempt information</w:t>
      </w:r>
      <w:r>
        <w:rPr>
          <w:sz w:val="23"/>
          <w:szCs w:val="23"/>
        </w:rPr>
        <w:t xml:space="preserve"> means</w:t>
      </w:r>
      <w:r w:rsidR="00934419">
        <w:rPr>
          <w:sz w:val="23"/>
          <w:szCs w:val="23"/>
        </w:rPr>
        <w:t xml:space="preserve"> exempt from disclosure under the Act – i.e. subject to one or more of the exemptions in Part 3 of the Act</w:t>
      </w:r>
      <w:r w:rsidR="002E3D57">
        <w:rPr>
          <w:sz w:val="23"/>
          <w:szCs w:val="23"/>
        </w:rPr>
        <w:t>.</w:t>
      </w:r>
    </w:p>
    <w:p w:rsidR="00934419" w:rsidRDefault="00934419" w:rsidP="00A57902">
      <w:pPr>
        <w:rPr>
          <w:sz w:val="23"/>
          <w:szCs w:val="23"/>
        </w:rPr>
      </w:pPr>
      <w:r w:rsidRPr="00D378B6">
        <w:rPr>
          <w:b/>
          <w:sz w:val="23"/>
          <w:szCs w:val="23"/>
        </w:rPr>
        <w:t>Information</w:t>
      </w:r>
      <w:r>
        <w:rPr>
          <w:sz w:val="23"/>
          <w:szCs w:val="23"/>
        </w:rPr>
        <w:t xml:space="preserve"> means</w:t>
      </w:r>
      <w:r w:rsidR="00D378B6">
        <w:rPr>
          <w:sz w:val="23"/>
          <w:szCs w:val="23"/>
        </w:rPr>
        <w:t>:</w:t>
      </w:r>
    </w:p>
    <w:p w:rsidR="00D378B6" w:rsidRPr="00D378B6" w:rsidRDefault="00D378B6" w:rsidP="00D378B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D378B6">
        <w:rPr>
          <w:sz w:val="23"/>
          <w:szCs w:val="23"/>
        </w:rPr>
        <w:lastRenderedPageBreak/>
        <w:t>anything by which words, figures, letters or symbols are recorded and includes a map, plan, graph, drawing, painting, recording and photograph; and</w:t>
      </w:r>
    </w:p>
    <w:p w:rsidR="00D378B6" w:rsidRPr="00D378B6" w:rsidRDefault="00D378B6" w:rsidP="00D378B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D378B6">
        <w:rPr>
          <w:sz w:val="23"/>
          <w:szCs w:val="23"/>
        </w:rPr>
        <w:t>anything in which information is embodied so as to be capable of being reproduced;</w:t>
      </w:r>
    </w:p>
    <w:p w:rsidR="002F609B" w:rsidRDefault="002F609B" w:rsidP="00A57902">
      <w:pPr>
        <w:rPr>
          <w:sz w:val="23"/>
          <w:szCs w:val="23"/>
        </w:rPr>
      </w:pPr>
      <w:r w:rsidRPr="002F609B">
        <w:rPr>
          <w:b/>
          <w:sz w:val="23"/>
          <w:szCs w:val="23"/>
        </w:rPr>
        <w:t>Principal officer</w:t>
      </w:r>
      <w:r>
        <w:rPr>
          <w:sz w:val="23"/>
          <w:szCs w:val="23"/>
        </w:rPr>
        <w:t xml:space="preserve"> means</w:t>
      </w:r>
      <w:r w:rsidR="00934419">
        <w:rPr>
          <w:sz w:val="23"/>
          <w:szCs w:val="23"/>
        </w:rPr>
        <w:t xml:space="preserve"> the Secretary of the DoJ</w:t>
      </w:r>
      <w:r w:rsidR="002E3D57">
        <w:rPr>
          <w:sz w:val="23"/>
          <w:szCs w:val="23"/>
        </w:rPr>
        <w:t>.</w:t>
      </w:r>
    </w:p>
    <w:p w:rsidR="002F609B" w:rsidRDefault="002F609B" w:rsidP="00A57902">
      <w:pPr>
        <w:rPr>
          <w:sz w:val="23"/>
          <w:szCs w:val="23"/>
        </w:rPr>
      </w:pPr>
      <w:r w:rsidRPr="002F609B">
        <w:rPr>
          <w:b/>
          <w:sz w:val="23"/>
          <w:szCs w:val="23"/>
        </w:rPr>
        <w:t>Public authority</w:t>
      </w:r>
      <w:r>
        <w:rPr>
          <w:sz w:val="23"/>
          <w:szCs w:val="23"/>
        </w:rPr>
        <w:t xml:space="preserve"> means</w:t>
      </w:r>
      <w:r w:rsidR="00595006">
        <w:rPr>
          <w:sz w:val="23"/>
          <w:szCs w:val="23"/>
        </w:rPr>
        <w:t>:</w:t>
      </w:r>
    </w:p>
    <w:p w:rsidR="00D04DE4" w:rsidRPr="00D04DE4" w:rsidRDefault="00D04DE4" w:rsidP="00D04DE4">
      <w:pPr>
        <w:pStyle w:val="ListParagraph"/>
        <w:numPr>
          <w:ilvl w:val="0"/>
          <w:numId w:val="14"/>
        </w:numPr>
        <w:rPr>
          <w:sz w:val="23"/>
          <w:szCs w:val="23"/>
        </w:rPr>
      </w:pPr>
      <w:r>
        <w:rPr>
          <w:sz w:val="23"/>
          <w:szCs w:val="23"/>
        </w:rPr>
        <w:t>a statutory authority; or</w:t>
      </w:r>
    </w:p>
    <w:p w:rsidR="00D04DE4" w:rsidRPr="00D04DE4" w:rsidRDefault="00D04DE4" w:rsidP="00D04DE4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D04DE4">
        <w:rPr>
          <w:sz w:val="23"/>
          <w:szCs w:val="23"/>
        </w:rPr>
        <w:t xml:space="preserve">a body, whether corporate or unincorporate, that is established by or under </w:t>
      </w:r>
      <w:r>
        <w:rPr>
          <w:sz w:val="23"/>
          <w:szCs w:val="23"/>
        </w:rPr>
        <w:t>an Act for a public purpose; or</w:t>
      </w:r>
    </w:p>
    <w:p w:rsidR="00D04DE4" w:rsidRDefault="00D04DE4" w:rsidP="00D04DE4">
      <w:pPr>
        <w:pStyle w:val="ListParagraph"/>
        <w:numPr>
          <w:ilvl w:val="0"/>
          <w:numId w:val="14"/>
        </w:numPr>
        <w:rPr>
          <w:sz w:val="23"/>
          <w:szCs w:val="23"/>
        </w:rPr>
      </w:pPr>
      <w:r w:rsidRPr="00D04DE4">
        <w:rPr>
          <w:sz w:val="23"/>
          <w:szCs w:val="23"/>
        </w:rPr>
        <w:t>a body whose members, or a majority of whose members, are appointed by the Governor or a Minister of the Crown;</w:t>
      </w:r>
    </w:p>
    <w:p w:rsidR="002F609B" w:rsidRDefault="002F609B" w:rsidP="002F609B">
      <w:pPr>
        <w:tabs>
          <w:tab w:val="left" w:pos="3098"/>
        </w:tabs>
      </w:pPr>
      <w:r w:rsidRPr="002F609B">
        <w:rPr>
          <w:b/>
        </w:rPr>
        <w:t>Required disclosure</w:t>
      </w:r>
      <w:r>
        <w:t xml:space="preserve"> means </w:t>
      </w:r>
      <w:r w:rsidRPr="002F609B">
        <w:t>a disclosure of information by a public authority where the information is required to be published by this or any other Act, or where disclosure is otherwise required by law or enforceable under an agreement</w:t>
      </w:r>
      <w:r w:rsidR="002E3D57">
        <w:t>.</w:t>
      </w:r>
      <w:r>
        <w:t xml:space="preserve"> </w:t>
      </w:r>
    </w:p>
    <w:p w:rsidR="002F609B" w:rsidRPr="003D28C2" w:rsidRDefault="002F609B" w:rsidP="00590895">
      <w:pPr>
        <w:tabs>
          <w:tab w:val="left" w:pos="3098"/>
        </w:tabs>
      </w:pPr>
      <w:r w:rsidRPr="002F609B">
        <w:rPr>
          <w:b/>
        </w:rPr>
        <w:t>Routine disclosure</w:t>
      </w:r>
      <w:r>
        <w:t xml:space="preserve"> means </w:t>
      </w:r>
      <w:r w:rsidRPr="002F609B">
        <w:t>a disclosure of information by a public authority which the public authority decides may be of interest to the public, but which is not a required disclosure, an assessed disclosure or an active disclosure</w:t>
      </w:r>
      <w:r w:rsidR="002E3D57">
        <w:t>.</w:t>
      </w:r>
    </w:p>
    <w:p w:rsidR="00A57902" w:rsidRPr="003D28C2" w:rsidRDefault="00A57902" w:rsidP="00A57902">
      <w:pPr>
        <w:pStyle w:val="Heading1"/>
      </w:pPr>
      <w:bookmarkStart w:id="7" w:name="_Toc342211"/>
      <w:r w:rsidRPr="003D28C2">
        <w:t>Responsibilities</w:t>
      </w:r>
      <w:bookmarkEnd w:id="7"/>
    </w:p>
    <w:p w:rsidR="00A57902" w:rsidRPr="003D28C2" w:rsidRDefault="00A57902" w:rsidP="00A57902">
      <w:pPr>
        <w:rPr>
          <w:b/>
        </w:rPr>
      </w:pPr>
      <w:r w:rsidRPr="003D28C2">
        <w:rPr>
          <w:b/>
        </w:rPr>
        <w:t>Employees</w:t>
      </w:r>
    </w:p>
    <w:p w:rsidR="00101068" w:rsidRDefault="00101068" w:rsidP="00101068">
      <w:r>
        <w:t>All employees are responsible and accountable for:</w:t>
      </w:r>
    </w:p>
    <w:p w:rsidR="00101068" w:rsidRDefault="00101068" w:rsidP="00101068">
      <w:pPr>
        <w:pStyle w:val="ListParagraph"/>
        <w:numPr>
          <w:ilvl w:val="0"/>
          <w:numId w:val="15"/>
        </w:numPr>
      </w:pPr>
      <w:r>
        <w:t>keeping records of all official information produced, received or acquired;</w:t>
      </w:r>
    </w:p>
    <w:p w:rsidR="00101068" w:rsidRDefault="00101068" w:rsidP="00101068">
      <w:pPr>
        <w:pStyle w:val="ListParagraph"/>
        <w:numPr>
          <w:ilvl w:val="0"/>
          <w:numId w:val="15"/>
        </w:numPr>
      </w:pPr>
      <w:r>
        <w:t>making records to support the work they are undertaking; and</w:t>
      </w:r>
    </w:p>
    <w:p w:rsidR="00A57902" w:rsidRDefault="00101068" w:rsidP="00101068">
      <w:pPr>
        <w:pStyle w:val="ListParagraph"/>
        <w:numPr>
          <w:ilvl w:val="0"/>
          <w:numId w:val="15"/>
        </w:numPr>
      </w:pPr>
      <w:r>
        <w:t>registering documents in DoJ records management systems as appropriate.</w:t>
      </w:r>
    </w:p>
    <w:p w:rsidR="00101068" w:rsidRDefault="00101068" w:rsidP="00101068">
      <w:r>
        <w:t>Employees asked to identify information responsive to an application for assessed disclosure by a delegated officer are responsible for</w:t>
      </w:r>
      <w:r w:rsidR="00922175">
        <w:t>:</w:t>
      </w:r>
    </w:p>
    <w:p w:rsidR="00922175" w:rsidRDefault="00922175" w:rsidP="00922175">
      <w:pPr>
        <w:pStyle w:val="ListParagraph"/>
        <w:numPr>
          <w:ilvl w:val="0"/>
          <w:numId w:val="16"/>
        </w:numPr>
      </w:pPr>
      <w:r>
        <w:t>identifying all relevant information</w:t>
      </w:r>
      <w:r w:rsidR="00AE3C1A">
        <w:t>;</w:t>
      </w:r>
    </w:p>
    <w:p w:rsidR="00922175" w:rsidRDefault="00922175" w:rsidP="00922175">
      <w:pPr>
        <w:pStyle w:val="ListParagraph"/>
        <w:numPr>
          <w:ilvl w:val="0"/>
          <w:numId w:val="16"/>
        </w:numPr>
      </w:pPr>
      <w:r>
        <w:t>recording steps taken during the search</w:t>
      </w:r>
      <w:r w:rsidR="00FC67C6">
        <w:t xml:space="preserve"> for information</w:t>
      </w:r>
      <w:r w:rsidR="00AE3C1A">
        <w:t>; and</w:t>
      </w:r>
    </w:p>
    <w:p w:rsidR="00922175" w:rsidRDefault="00922175" w:rsidP="00922175">
      <w:pPr>
        <w:pStyle w:val="ListParagraph"/>
        <w:numPr>
          <w:ilvl w:val="0"/>
          <w:numId w:val="16"/>
        </w:numPr>
      </w:pPr>
      <w:r>
        <w:t>recording details of information which is no longer in the possession of the DoJ or which has been destroyed or is missing</w:t>
      </w:r>
      <w:r w:rsidR="00FC67C6">
        <w:t>.</w:t>
      </w:r>
    </w:p>
    <w:p w:rsidR="00922175" w:rsidRDefault="00922175" w:rsidP="00A57902">
      <w:pPr>
        <w:rPr>
          <w:b/>
        </w:rPr>
      </w:pPr>
      <w:r>
        <w:rPr>
          <w:b/>
        </w:rPr>
        <w:lastRenderedPageBreak/>
        <w:t>Principal officer</w:t>
      </w:r>
    </w:p>
    <w:p w:rsidR="00FC67C6" w:rsidRDefault="00FC67C6" w:rsidP="00922175">
      <w:r>
        <w:t>The principal officer is responsible for</w:t>
      </w:r>
      <w:r w:rsidR="00AE3C1A">
        <w:t>:</w:t>
      </w:r>
    </w:p>
    <w:p w:rsidR="00922175" w:rsidRDefault="00922175" w:rsidP="00FC67C6">
      <w:pPr>
        <w:pStyle w:val="ListParagraph"/>
        <w:numPr>
          <w:ilvl w:val="0"/>
          <w:numId w:val="17"/>
        </w:numPr>
      </w:pPr>
      <w:r>
        <w:t>develop</w:t>
      </w:r>
      <w:r w:rsidR="00FC67C6">
        <w:t>ing</w:t>
      </w:r>
      <w:r>
        <w:t xml:space="preserve"> policies and procedures in relation to disclosure of information for use in the public authority; and</w:t>
      </w:r>
    </w:p>
    <w:p w:rsidR="00922175" w:rsidRDefault="00FC67C6" w:rsidP="00FC67C6">
      <w:pPr>
        <w:pStyle w:val="ListParagraph"/>
        <w:numPr>
          <w:ilvl w:val="0"/>
          <w:numId w:val="17"/>
        </w:numPr>
      </w:pPr>
      <w:r>
        <w:t>publishing details of this Act</w:t>
      </w:r>
      <w:r w:rsidR="00922175">
        <w:t xml:space="preserve"> and the way in which people can exercise their rights under it in respect of the public authority; and</w:t>
      </w:r>
    </w:p>
    <w:p w:rsidR="00922175" w:rsidRDefault="00FC67C6" w:rsidP="00FC67C6">
      <w:pPr>
        <w:pStyle w:val="ListParagraph"/>
        <w:numPr>
          <w:ilvl w:val="0"/>
          <w:numId w:val="17"/>
        </w:numPr>
      </w:pPr>
      <w:r>
        <w:t xml:space="preserve">annually publishing </w:t>
      </w:r>
      <w:r w:rsidR="00922175">
        <w:t xml:space="preserve">details on information published as required disclosures or routine disclosures by the </w:t>
      </w:r>
      <w:r>
        <w:t>DoJ</w:t>
      </w:r>
      <w:r w:rsidR="00922175">
        <w:t>; and</w:t>
      </w:r>
    </w:p>
    <w:p w:rsidR="00922175" w:rsidRPr="00922175" w:rsidRDefault="00FC67C6" w:rsidP="00FC67C6">
      <w:pPr>
        <w:pStyle w:val="ListParagraph"/>
        <w:numPr>
          <w:ilvl w:val="0"/>
          <w:numId w:val="17"/>
        </w:numPr>
      </w:pPr>
      <w:r>
        <w:t>annually publishing</w:t>
      </w:r>
      <w:r w:rsidR="00922175">
        <w:t xml:space="preserve"> details on information re</w:t>
      </w:r>
      <w:r>
        <w:t>leased as assessed disclosures</w:t>
      </w:r>
      <w:r w:rsidR="002E3D57">
        <w:t>.</w:t>
      </w:r>
    </w:p>
    <w:p w:rsidR="00A57902" w:rsidRPr="003D28C2" w:rsidRDefault="00231373" w:rsidP="00A57902">
      <w:pPr>
        <w:rPr>
          <w:b/>
        </w:rPr>
      </w:pPr>
      <w:r>
        <w:rPr>
          <w:b/>
        </w:rPr>
        <w:t>P</w:t>
      </w:r>
      <w:r w:rsidR="0038240F">
        <w:rPr>
          <w:b/>
        </w:rPr>
        <w:t>rincipal</w:t>
      </w:r>
      <w:r w:rsidR="00922175">
        <w:rPr>
          <w:b/>
        </w:rPr>
        <w:t xml:space="preserve"> officer/</w:t>
      </w:r>
      <w:r w:rsidR="00101068">
        <w:rPr>
          <w:b/>
        </w:rPr>
        <w:t>d</w:t>
      </w:r>
      <w:r w:rsidR="00D04DE4">
        <w:rPr>
          <w:b/>
        </w:rPr>
        <w:t>elegate</w:t>
      </w:r>
      <w:r w:rsidR="00101068">
        <w:rPr>
          <w:b/>
        </w:rPr>
        <w:t xml:space="preserve"> </w:t>
      </w:r>
      <w:r>
        <w:rPr>
          <w:b/>
        </w:rPr>
        <w:t>officer</w:t>
      </w:r>
      <w:r w:rsidR="00277496">
        <w:rPr>
          <w:b/>
        </w:rPr>
        <w:t>s</w:t>
      </w:r>
      <w:r w:rsidR="00922175">
        <w:rPr>
          <w:b/>
        </w:rPr>
        <w:t xml:space="preserve"> (applications for assessed disclosure</w:t>
      </w:r>
      <w:r w:rsidR="00AA0EF9">
        <w:rPr>
          <w:b/>
        </w:rPr>
        <w:t>)</w:t>
      </w:r>
    </w:p>
    <w:p w:rsidR="00FC67C6" w:rsidRDefault="00277496" w:rsidP="0038240F">
      <w:r>
        <w:t xml:space="preserve">The </w:t>
      </w:r>
      <w:r w:rsidR="0061093B">
        <w:t xml:space="preserve">principal </w:t>
      </w:r>
      <w:r>
        <w:t>officer and delegate officers are responsible for:</w:t>
      </w:r>
    </w:p>
    <w:p w:rsidR="00277496" w:rsidRDefault="00AA0EF9" w:rsidP="00AA0EF9">
      <w:pPr>
        <w:pStyle w:val="ListParagraph"/>
        <w:numPr>
          <w:ilvl w:val="0"/>
          <w:numId w:val="19"/>
        </w:numPr>
      </w:pPr>
      <w:r>
        <w:t>providing</w:t>
      </w:r>
      <w:r w:rsidR="00277496">
        <w:t xml:space="preserve"> an applicant with reasonable</w:t>
      </w:r>
      <w:r>
        <w:t xml:space="preserve"> </w:t>
      </w:r>
      <w:r w:rsidR="00277496">
        <w:t>assistance</w:t>
      </w:r>
      <w:r>
        <w:t xml:space="preserve"> to make a valid application in the event that it does not comply with the requirements of s 13 of the Act</w:t>
      </w:r>
      <w:r w:rsidR="00AE3C1A">
        <w:t>;</w:t>
      </w:r>
    </w:p>
    <w:p w:rsidR="00277496" w:rsidRDefault="002B72DA" w:rsidP="00AA0EF9">
      <w:pPr>
        <w:pStyle w:val="ListParagraph"/>
        <w:numPr>
          <w:ilvl w:val="0"/>
          <w:numId w:val="19"/>
        </w:numPr>
      </w:pPr>
      <w:r>
        <w:t>n</w:t>
      </w:r>
      <w:r w:rsidR="00277496">
        <w:t xml:space="preserve">egotiating with </w:t>
      </w:r>
      <w:r w:rsidR="00AA0EF9">
        <w:t>an</w:t>
      </w:r>
      <w:r w:rsidR="00277496">
        <w:t xml:space="preserve"> applicant where appropriate to refine or redirect the application</w:t>
      </w:r>
      <w:r w:rsidR="00AE3C1A">
        <w:t>;</w:t>
      </w:r>
    </w:p>
    <w:p w:rsidR="00277496" w:rsidRDefault="00277496" w:rsidP="00277496">
      <w:pPr>
        <w:pStyle w:val="ListParagraph"/>
        <w:numPr>
          <w:ilvl w:val="0"/>
          <w:numId w:val="18"/>
        </w:numPr>
      </w:pPr>
      <w:r>
        <w:t>negotiating with the applicant, where appropriate for additional time to determine the application</w:t>
      </w:r>
      <w:r w:rsidR="00AE3C1A">
        <w:t>;</w:t>
      </w:r>
    </w:p>
    <w:p w:rsidR="00277496" w:rsidRDefault="00277496" w:rsidP="00277496">
      <w:pPr>
        <w:pStyle w:val="ListParagraph"/>
        <w:numPr>
          <w:ilvl w:val="0"/>
          <w:numId w:val="18"/>
        </w:numPr>
      </w:pPr>
      <w:r>
        <w:t>ensuring that, where appropriate, applications are promptly transferred where the subject matter of the information requested is more closely connected with the functions of another public authority</w:t>
      </w:r>
      <w:r w:rsidR="00AE3C1A">
        <w:t>;</w:t>
      </w:r>
    </w:p>
    <w:p w:rsidR="00277496" w:rsidRDefault="00277496" w:rsidP="00277496">
      <w:pPr>
        <w:pStyle w:val="ListParagraph"/>
        <w:numPr>
          <w:ilvl w:val="0"/>
          <w:numId w:val="18"/>
        </w:numPr>
      </w:pPr>
      <w:r>
        <w:t>ensuring that proper guidance is given to employees conducting searches for information responsive to an application</w:t>
      </w:r>
      <w:r w:rsidR="00AE3C1A">
        <w:t>;</w:t>
      </w:r>
    </w:p>
    <w:p w:rsidR="0038240F" w:rsidRDefault="00277496" w:rsidP="00277496">
      <w:pPr>
        <w:pStyle w:val="ListParagraph"/>
        <w:numPr>
          <w:ilvl w:val="0"/>
          <w:numId w:val="18"/>
        </w:numPr>
      </w:pPr>
      <w:r>
        <w:t>d</w:t>
      </w:r>
      <w:r w:rsidR="00FC67C6">
        <w:t>etermining</w:t>
      </w:r>
      <w:r w:rsidR="0038240F">
        <w:t xml:space="preserve"> applications for assessed disclosure</w:t>
      </w:r>
      <w:r w:rsidR="00101068">
        <w:t xml:space="preserve"> consistent with provisions of the Act</w:t>
      </w:r>
      <w:r w:rsidR="002E3D57">
        <w:t>;</w:t>
      </w:r>
    </w:p>
    <w:p w:rsidR="0038240F" w:rsidRDefault="00277496" w:rsidP="00277496">
      <w:pPr>
        <w:pStyle w:val="ListParagraph"/>
        <w:numPr>
          <w:ilvl w:val="0"/>
          <w:numId w:val="18"/>
        </w:numPr>
      </w:pPr>
      <w:r>
        <w:t>u</w:t>
      </w:r>
      <w:r w:rsidR="00FC67C6">
        <w:t>ndertaking</w:t>
      </w:r>
      <w:r w:rsidR="0038240F">
        <w:t xml:space="preserve"> internal reviews of decisions on application for assessed disclosure</w:t>
      </w:r>
      <w:r w:rsidR="007447A1">
        <w:t xml:space="preserve"> consistent with provisions of the Act</w:t>
      </w:r>
      <w:r w:rsidR="00AE3C1A">
        <w:t>; and</w:t>
      </w:r>
    </w:p>
    <w:p w:rsidR="00FC67C6" w:rsidRDefault="00277496" w:rsidP="00277496">
      <w:pPr>
        <w:pStyle w:val="ListParagraph"/>
        <w:numPr>
          <w:ilvl w:val="0"/>
          <w:numId w:val="18"/>
        </w:numPr>
      </w:pPr>
      <w:r>
        <w:t>l</w:t>
      </w:r>
      <w:r w:rsidR="00FC67C6">
        <w:t xml:space="preserve">iaising with the Ombudsman </w:t>
      </w:r>
      <w:r>
        <w:t>on external reviews of decisions on applications for assessed disclosure.</w:t>
      </w:r>
    </w:p>
    <w:p w:rsidR="0038240F" w:rsidRPr="0038240F" w:rsidRDefault="0038240F" w:rsidP="0038240F">
      <w:pPr>
        <w:rPr>
          <w:b/>
        </w:rPr>
      </w:pPr>
      <w:r w:rsidRPr="0038240F">
        <w:rPr>
          <w:b/>
        </w:rPr>
        <w:t>Output Managers</w:t>
      </w:r>
    </w:p>
    <w:p w:rsidR="002B72DA" w:rsidRDefault="002B72DA" w:rsidP="0038240F">
      <w:r>
        <w:t>Output managers are responsible for</w:t>
      </w:r>
      <w:r w:rsidR="00AE3C1A">
        <w:t>:</w:t>
      </w:r>
    </w:p>
    <w:p w:rsidR="00FD5380" w:rsidRDefault="00FD5380" w:rsidP="00FD5380">
      <w:pPr>
        <w:pStyle w:val="ListParagraph"/>
        <w:numPr>
          <w:ilvl w:val="0"/>
          <w:numId w:val="20"/>
        </w:numPr>
      </w:pPr>
      <w:r>
        <w:lastRenderedPageBreak/>
        <w:t xml:space="preserve">determining information which </w:t>
      </w:r>
      <w:r w:rsidR="0079387B">
        <w:t>should</w:t>
      </w:r>
      <w:r>
        <w:t xml:space="preserve"> be released by way of active disclosure – i.e. </w:t>
      </w:r>
      <w:r w:rsidRPr="00FD5380">
        <w:rPr>
          <w:sz w:val="23"/>
          <w:szCs w:val="23"/>
        </w:rPr>
        <w:t>the voluntary release of information on receipt of a request without the need for an appl</w:t>
      </w:r>
      <w:r w:rsidR="00AE3C1A">
        <w:rPr>
          <w:sz w:val="23"/>
          <w:szCs w:val="23"/>
        </w:rPr>
        <w:t>ication for assessed disclosure;</w:t>
      </w:r>
    </w:p>
    <w:p w:rsidR="00A6500A" w:rsidRDefault="00A6500A" w:rsidP="00A6500A">
      <w:pPr>
        <w:pStyle w:val="ListParagraph"/>
        <w:numPr>
          <w:ilvl w:val="0"/>
          <w:numId w:val="20"/>
        </w:numPr>
      </w:pPr>
      <w:r>
        <w:t>i</w:t>
      </w:r>
      <w:r w:rsidR="00FD5380">
        <w:t>dentifying information</w:t>
      </w:r>
      <w:r>
        <w:t xml:space="preserve"> for routine disclosure and obtaining approval from the DoJ executive for publication on the DoJ website</w:t>
      </w:r>
      <w:r w:rsidR="00AE3C1A">
        <w:t>;</w:t>
      </w:r>
    </w:p>
    <w:p w:rsidR="00A6500A" w:rsidRDefault="00A6500A" w:rsidP="00A6500A">
      <w:pPr>
        <w:pStyle w:val="ListParagraph"/>
        <w:numPr>
          <w:ilvl w:val="0"/>
          <w:numId w:val="20"/>
        </w:numPr>
      </w:pPr>
      <w:r>
        <w:t>ensuring employees keep appropriate records of their activities</w:t>
      </w:r>
      <w:r w:rsidR="00AE3C1A">
        <w:t>; and</w:t>
      </w:r>
    </w:p>
    <w:p w:rsidR="00A6500A" w:rsidRDefault="00A6500A" w:rsidP="00A6500A">
      <w:pPr>
        <w:pStyle w:val="ListParagraph"/>
        <w:numPr>
          <w:ilvl w:val="0"/>
          <w:numId w:val="20"/>
        </w:numPr>
      </w:pPr>
      <w:r>
        <w:t>lia</w:t>
      </w:r>
      <w:r w:rsidR="001C0038">
        <w:t>i</w:t>
      </w:r>
      <w:r>
        <w:t xml:space="preserve">sing with the principal officer/delegate officer </w:t>
      </w:r>
      <w:r w:rsidR="001C0038">
        <w:t>regarding the determination of applications for assessed disclosure.</w:t>
      </w:r>
    </w:p>
    <w:p w:rsidR="00A57902" w:rsidRPr="003D28C2" w:rsidRDefault="00A57902" w:rsidP="00A57902">
      <w:pPr>
        <w:pStyle w:val="Heading1"/>
      </w:pPr>
      <w:bookmarkStart w:id="8" w:name="_Toc342212"/>
      <w:r w:rsidRPr="003D28C2">
        <w:t>Procedures</w:t>
      </w:r>
      <w:bookmarkEnd w:id="8"/>
    </w:p>
    <w:p w:rsidR="00A57902" w:rsidRPr="003D28C2" w:rsidRDefault="00595006" w:rsidP="00A57902">
      <w:r>
        <w:t xml:space="preserve">The Department will apply the procedures development by the Ombudsman and published in its </w:t>
      </w:r>
      <w:r w:rsidR="008A39AA">
        <w:t>Manual and Guidelines in the course of discharging its obligations under the Right to Information Act 2009.</w:t>
      </w:r>
    </w:p>
    <w:p w:rsidR="00A57902" w:rsidRPr="003D28C2" w:rsidRDefault="00A57902" w:rsidP="00A57902"/>
    <w:tbl>
      <w:tblPr>
        <w:tblpPr w:leftFromText="180" w:rightFromText="180" w:vertAnchor="text" w:horzAnchor="margin" w:tblpX="108" w:tblpY="311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Look w:val="04A0" w:firstRow="1" w:lastRow="0" w:firstColumn="1" w:lastColumn="0" w:noHBand="0" w:noVBand="1"/>
        <w:tblDescription w:val="layout table with 2 columns and 6 rows"/>
      </w:tblPr>
      <w:tblGrid>
        <w:gridCol w:w="2376"/>
        <w:gridCol w:w="3194"/>
      </w:tblGrid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Policy Title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0F6796" w:rsidP="006B0563">
            <w:pPr>
              <w:keepNext/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RTI Policy</w:t>
            </w:r>
          </w:p>
        </w:tc>
      </w:tr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Branch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0F6796" w:rsidP="006B0563">
            <w:pPr>
              <w:keepNext/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Office of the Secretary</w:t>
            </w:r>
          </w:p>
        </w:tc>
      </w:tr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Date of first Issue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29480C" w:rsidP="006B0563">
            <w:pPr>
              <w:keepNext/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</w:p>
        </w:tc>
      </w:tr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Version Number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A57902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1.0</w:t>
            </w:r>
          </w:p>
        </w:tc>
      </w:tr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Date of this version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0F6796" w:rsidP="006B0563">
            <w:pPr>
              <w:keepNext/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30/01/19</w:t>
            </w:r>
          </w:p>
        </w:tc>
      </w:tr>
      <w:tr w:rsidR="006B0563" w:rsidRPr="003D28C2" w:rsidTr="00E6643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6B0563" w:rsidRPr="003D28C2" w:rsidRDefault="006B0563" w:rsidP="006B0563">
            <w:pPr>
              <w:keepNext/>
              <w:spacing w:after="0" w:line="276" w:lineRule="auto"/>
              <w:rPr>
                <w:rFonts w:eastAsia="Calibri"/>
              </w:rPr>
            </w:pPr>
            <w:r w:rsidRPr="003D28C2">
              <w:rPr>
                <w:rFonts w:eastAsia="Calibri"/>
              </w:rPr>
              <w:t>Next Review Date</w:t>
            </w:r>
          </w:p>
        </w:tc>
        <w:tc>
          <w:tcPr>
            <w:tcW w:w="3194" w:type="dxa"/>
            <w:shd w:val="clear" w:color="auto" w:fill="auto"/>
            <w:vAlign w:val="center"/>
          </w:tcPr>
          <w:p w:rsidR="006B0563" w:rsidRPr="003D28C2" w:rsidRDefault="000F6796" w:rsidP="006B0563">
            <w:pPr>
              <w:keepNext/>
              <w:spacing w:after="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30/01/22</w:t>
            </w:r>
          </w:p>
        </w:tc>
      </w:tr>
    </w:tbl>
    <w:p w:rsidR="006B0563" w:rsidRPr="003D28C2" w:rsidRDefault="006B0563" w:rsidP="004C7949"/>
    <w:sectPr w:rsidR="006B0563" w:rsidRPr="003D28C2" w:rsidSect="004B4852"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553" w:rsidRDefault="00932553" w:rsidP="00FD2822">
      <w:pPr>
        <w:spacing w:after="0" w:line="240" w:lineRule="auto"/>
      </w:pPr>
      <w:r>
        <w:separator/>
      </w:r>
    </w:p>
  </w:endnote>
  <w:endnote w:type="continuationSeparator" w:id="0">
    <w:p w:rsidR="00932553" w:rsidRDefault="00932553" w:rsidP="00FD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0120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F3A" w:rsidRPr="004B4852" w:rsidRDefault="0061093B" w:rsidP="004B4852">
        <w:pPr>
          <w:pStyle w:val="Footer"/>
          <w:jc w:val="right"/>
        </w:pPr>
        <w:r>
          <w:t>DOC/19/14248</w:t>
        </w:r>
        <w:r w:rsidR="00082F3A">
          <w:tab/>
        </w:r>
        <w:r w:rsidR="00082F3A">
          <w:tab/>
        </w:r>
        <w:r w:rsidR="00082F3A" w:rsidRPr="004B4852">
          <w:fldChar w:fldCharType="begin"/>
        </w:r>
        <w:r w:rsidR="00082F3A" w:rsidRPr="004B4852">
          <w:instrText xml:space="preserve"> PAGE   \* MERGEFORMAT </w:instrText>
        </w:r>
        <w:r w:rsidR="00082F3A" w:rsidRPr="004B4852">
          <w:fldChar w:fldCharType="separate"/>
        </w:r>
        <w:r w:rsidR="008E0091">
          <w:rPr>
            <w:noProof/>
          </w:rPr>
          <w:t>2</w:t>
        </w:r>
        <w:r w:rsidR="00082F3A" w:rsidRPr="004B4852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A" w:rsidRPr="00602D4A" w:rsidRDefault="00082F3A" w:rsidP="00E5042E">
    <w:pPr>
      <w:pStyle w:val="Footer"/>
      <w:spacing w:after="240"/>
      <w:ind w:left="-283"/>
      <w:rPr>
        <w:sz w:val="28"/>
      </w:rPr>
    </w:pPr>
    <w:r w:rsidRPr="00602D4A">
      <w:rPr>
        <w:noProof/>
        <w:sz w:val="36"/>
        <w:szCs w:val="28"/>
        <w:lang w:eastAsia="en-AU"/>
      </w:rPr>
      <w:drawing>
        <wp:anchor distT="0" distB="0" distL="114300" distR="114300" simplePos="0" relativeHeight="251662336" behindDoc="1" locked="0" layoutInCell="1" allowOverlap="1" wp14:anchorId="4BF1F009" wp14:editId="1B92747F">
          <wp:simplePos x="0" y="0"/>
          <wp:positionH relativeFrom="column">
            <wp:posOffset>5071110</wp:posOffset>
          </wp:positionH>
          <wp:positionV relativeFrom="paragraph">
            <wp:posOffset>-692785</wp:posOffset>
          </wp:positionV>
          <wp:extent cx="970280" cy="899795"/>
          <wp:effectExtent l="0" t="0" r="1270" b="0"/>
          <wp:wrapNone/>
          <wp:docPr id="7" name="Picture 7" descr="Tasmanian Government logo" title="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6" name="Picture 5396" descr="Tasmanian Government logo" title="Tasmanian Government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2D4A">
      <w:rPr>
        <w:noProof/>
        <w:sz w:val="28"/>
        <w:lang w:eastAsia="en-AU"/>
      </w:rPr>
      <w:drawing>
        <wp:anchor distT="0" distB="0" distL="114300" distR="114300" simplePos="0" relativeHeight="251657216" behindDoc="1" locked="0" layoutInCell="1" allowOverlap="1" wp14:anchorId="5C8BDCD7" wp14:editId="7CA4007D">
          <wp:simplePos x="0" y="0"/>
          <wp:positionH relativeFrom="margin">
            <wp:posOffset>-922655</wp:posOffset>
          </wp:positionH>
          <wp:positionV relativeFrom="paragraph">
            <wp:posOffset>-1145540</wp:posOffset>
          </wp:positionV>
          <wp:extent cx="7595870" cy="614680"/>
          <wp:effectExtent l="0" t="0" r="5080" b="0"/>
          <wp:wrapNone/>
          <wp:docPr id="8" name="Picture 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_White_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D4A">
      <w:rPr>
        <w:sz w:val="28"/>
      </w:rPr>
      <w:t>Department of Justice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553" w:rsidRDefault="00932553" w:rsidP="00FD2822">
      <w:pPr>
        <w:spacing w:after="0" w:line="240" w:lineRule="auto"/>
      </w:pPr>
      <w:r>
        <w:separator/>
      </w:r>
    </w:p>
  </w:footnote>
  <w:footnote w:type="continuationSeparator" w:id="0">
    <w:p w:rsidR="00932553" w:rsidRDefault="00932553" w:rsidP="00FD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A" w:rsidRDefault="00082F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A" w:rsidRDefault="0061093B">
    <w:pPr>
      <w:pStyle w:val="Header"/>
    </w:pPr>
    <w:r>
      <w:t>Right to Information Policy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3A" w:rsidRDefault="0008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324E"/>
    <w:multiLevelType w:val="hybridMultilevel"/>
    <w:tmpl w:val="1B2CC788"/>
    <w:lvl w:ilvl="0" w:tplc="B9C8DA7A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3B50"/>
    <w:multiLevelType w:val="hybridMultilevel"/>
    <w:tmpl w:val="7C96F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260"/>
    <w:multiLevelType w:val="hybridMultilevel"/>
    <w:tmpl w:val="9C1EB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0F46"/>
    <w:multiLevelType w:val="hybridMultilevel"/>
    <w:tmpl w:val="920C6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C0577"/>
    <w:multiLevelType w:val="hybridMultilevel"/>
    <w:tmpl w:val="BAEA1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09D"/>
    <w:multiLevelType w:val="hybridMultilevel"/>
    <w:tmpl w:val="AD345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0CB5"/>
    <w:multiLevelType w:val="hybridMultilevel"/>
    <w:tmpl w:val="44109650"/>
    <w:lvl w:ilvl="0" w:tplc="A412D950">
      <w:numFmt w:val="bullet"/>
      <w:lvlText w:val="•"/>
      <w:lvlJc w:val="left"/>
      <w:pPr>
        <w:ind w:left="1800" w:hanging="72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1268B"/>
    <w:multiLevelType w:val="hybridMultilevel"/>
    <w:tmpl w:val="C68A2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D21A4"/>
    <w:multiLevelType w:val="hybridMultilevel"/>
    <w:tmpl w:val="A40854A2"/>
    <w:lvl w:ilvl="0" w:tplc="FADEE2AC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pacing w:val="6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D763F"/>
    <w:multiLevelType w:val="hybridMultilevel"/>
    <w:tmpl w:val="7E94855A"/>
    <w:lvl w:ilvl="0" w:tplc="A412D950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2E80"/>
    <w:multiLevelType w:val="hybridMultilevel"/>
    <w:tmpl w:val="2010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27D9D"/>
    <w:multiLevelType w:val="hybridMultilevel"/>
    <w:tmpl w:val="759EB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6C2D"/>
    <w:multiLevelType w:val="hybridMultilevel"/>
    <w:tmpl w:val="92DA2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4286E"/>
    <w:multiLevelType w:val="hybridMultilevel"/>
    <w:tmpl w:val="920C60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74B69"/>
    <w:multiLevelType w:val="hybridMultilevel"/>
    <w:tmpl w:val="60AAF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606A"/>
    <w:multiLevelType w:val="hybridMultilevel"/>
    <w:tmpl w:val="F58E106E"/>
    <w:lvl w:ilvl="0" w:tplc="562401F8">
      <w:start w:val="1"/>
      <w:numFmt w:val="bullet"/>
      <w:pStyle w:val="ListParagraph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71AA58B2"/>
    <w:multiLevelType w:val="hybridMultilevel"/>
    <w:tmpl w:val="DA5470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D18"/>
    <w:multiLevelType w:val="hybridMultilevel"/>
    <w:tmpl w:val="3262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FFE"/>
    <w:multiLevelType w:val="hybridMultilevel"/>
    <w:tmpl w:val="CC5A55F8"/>
    <w:lvl w:ilvl="0" w:tplc="FDFC6E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11"/>
  </w:num>
  <w:num w:numId="10">
    <w:abstractNumId w:val="4"/>
  </w:num>
  <w:num w:numId="11">
    <w:abstractNumId w:val="13"/>
  </w:num>
  <w:num w:numId="12">
    <w:abstractNumId w:val="18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7"/>
  </w:num>
  <w:num w:numId="18">
    <w:abstractNumId w:val="17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1E"/>
    <w:rsid w:val="00017BFD"/>
    <w:rsid w:val="00031D3B"/>
    <w:rsid w:val="00067C71"/>
    <w:rsid w:val="00082F3A"/>
    <w:rsid w:val="000F6796"/>
    <w:rsid w:val="00101068"/>
    <w:rsid w:val="00154A1E"/>
    <w:rsid w:val="00161776"/>
    <w:rsid w:val="0018257A"/>
    <w:rsid w:val="001C0038"/>
    <w:rsid w:val="001D4F0F"/>
    <w:rsid w:val="00231373"/>
    <w:rsid w:val="00277496"/>
    <w:rsid w:val="0029480C"/>
    <w:rsid w:val="00297CDF"/>
    <w:rsid w:val="002B72DA"/>
    <w:rsid w:val="002E3D57"/>
    <w:rsid w:val="002F609B"/>
    <w:rsid w:val="00311C85"/>
    <w:rsid w:val="003270B3"/>
    <w:rsid w:val="0038240F"/>
    <w:rsid w:val="003D28C2"/>
    <w:rsid w:val="004612D0"/>
    <w:rsid w:val="004B4852"/>
    <w:rsid w:val="004C3647"/>
    <w:rsid w:val="004C7949"/>
    <w:rsid w:val="0051334A"/>
    <w:rsid w:val="00533312"/>
    <w:rsid w:val="00564CC4"/>
    <w:rsid w:val="005816E8"/>
    <w:rsid w:val="00590614"/>
    <w:rsid w:val="00590895"/>
    <w:rsid w:val="00595006"/>
    <w:rsid w:val="005A5271"/>
    <w:rsid w:val="00602D4A"/>
    <w:rsid w:val="0061093B"/>
    <w:rsid w:val="006548AC"/>
    <w:rsid w:val="006B0563"/>
    <w:rsid w:val="007447A1"/>
    <w:rsid w:val="00761AAF"/>
    <w:rsid w:val="0079387B"/>
    <w:rsid w:val="007A701A"/>
    <w:rsid w:val="007C04DC"/>
    <w:rsid w:val="008442D7"/>
    <w:rsid w:val="008641D5"/>
    <w:rsid w:val="008A39AA"/>
    <w:rsid w:val="008C2731"/>
    <w:rsid w:val="008D2A6E"/>
    <w:rsid w:val="008E0091"/>
    <w:rsid w:val="00922175"/>
    <w:rsid w:val="00932553"/>
    <w:rsid w:val="00934419"/>
    <w:rsid w:val="00987F5E"/>
    <w:rsid w:val="00A57902"/>
    <w:rsid w:val="00A6500A"/>
    <w:rsid w:val="00A76DFF"/>
    <w:rsid w:val="00AA0EF9"/>
    <w:rsid w:val="00AE3C1A"/>
    <w:rsid w:val="00B00BDB"/>
    <w:rsid w:val="00B640D1"/>
    <w:rsid w:val="00C72710"/>
    <w:rsid w:val="00C868B3"/>
    <w:rsid w:val="00D032C5"/>
    <w:rsid w:val="00D04DE4"/>
    <w:rsid w:val="00D378B6"/>
    <w:rsid w:val="00D4029D"/>
    <w:rsid w:val="00D47001"/>
    <w:rsid w:val="00D557E9"/>
    <w:rsid w:val="00DC093B"/>
    <w:rsid w:val="00E24565"/>
    <w:rsid w:val="00E5042E"/>
    <w:rsid w:val="00E6643B"/>
    <w:rsid w:val="00E877B6"/>
    <w:rsid w:val="00EA43CD"/>
    <w:rsid w:val="00FC67C6"/>
    <w:rsid w:val="00FC7990"/>
    <w:rsid w:val="00FD2822"/>
    <w:rsid w:val="00FD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AA15F4-BC62-4447-89AF-AFFEED1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7E9"/>
    <w:pPr>
      <w:spacing w:line="360" w:lineRule="auto"/>
    </w:pPr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902"/>
    <w:pPr>
      <w:keepNext/>
      <w:keepLines/>
      <w:numPr>
        <w:numId w:val="5"/>
      </w:numPr>
      <w:spacing w:before="120" w:after="240" w:line="240" w:lineRule="auto"/>
      <w:ind w:left="357" w:hanging="357"/>
      <w:outlineLvl w:val="0"/>
    </w:pPr>
    <w:rPr>
      <w:rFonts w:eastAsiaTheme="majorEastAsia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822"/>
    <w:pPr>
      <w:keepNext/>
      <w:keepLines/>
      <w:spacing w:before="200" w:after="0"/>
      <w:outlineLvl w:val="1"/>
    </w:pPr>
    <w:rPr>
      <w:rFonts w:eastAsiaTheme="majorEastAsia" w:cstheme="majorBidi"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D557E9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852"/>
    <w:pPr>
      <w:tabs>
        <w:tab w:val="center" w:pos="4513"/>
        <w:tab w:val="right" w:pos="9026"/>
      </w:tabs>
      <w:spacing w:after="0" w:line="240" w:lineRule="auto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B4852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4B4852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B4852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D4A"/>
    <w:pPr>
      <w:numPr>
        <w:numId w:val="4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902"/>
    <w:rPr>
      <w:rFonts w:ascii="Gill Sans MT" w:eastAsiaTheme="majorEastAsia" w:hAnsi="Gill Sans MT" w:cstheme="majorBidi"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2822"/>
    <w:rPr>
      <w:rFonts w:ascii="Gill Sans MT" w:eastAsiaTheme="majorEastAsia" w:hAnsi="Gill Sans MT" w:cstheme="majorBidi"/>
      <w:bCs/>
      <w:color w:val="4F81BD" w:themeColor="accent1"/>
      <w:sz w:val="28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57902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640D1"/>
    <w:pPr>
      <w:tabs>
        <w:tab w:val="left" w:pos="66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5042E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E5042E"/>
    <w:rPr>
      <w:color w:val="0000FF" w:themeColor="hyperlink"/>
      <w:u w:val="single"/>
    </w:rPr>
  </w:style>
  <w:style w:type="paragraph" w:customStyle="1" w:styleId="Style1">
    <w:name w:val="Style1"/>
    <w:basedOn w:val="TOCHeading"/>
    <w:rsid w:val="00E5042E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D557E9"/>
    <w:pPr>
      <w:spacing w:before="2000" w:after="24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7E9"/>
    <w:rPr>
      <w:rFonts w:ascii="Gill Sans MT" w:eastAsiaTheme="majorEastAsia" w:hAnsi="Gill Sans MT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57E9"/>
    <w:pPr>
      <w:numPr>
        <w:ilvl w:val="1"/>
      </w:numPr>
    </w:pPr>
    <w:rPr>
      <w:rFonts w:eastAsiaTheme="majorEastAsia" w:cstheme="majorBidi"/>
      <w:iCs/>
      <w:color w:val="365F91" w:themeColor="accent1" w:themeShade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57E9"/>
    <w:rPr>
      <w:rFonts w:ascii="Gill Sans MT" w:eastAsiaTheme="majorEastAsia" w:hAnsi="Gill Sans MT" w:cstheme="majorBidi"/>
      <w:iCs/>
      <w:color w:val="365F91" w:themeColor="accent1" w:themeShade="BF"/>
      <w:spacing w:val="15"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57E9"/>
    <w:rPr>
      <w:rFonts w:ascii="Gill Sans MT" w:eastAsiaTheme="majorEastAsia" w:hAnsi="Gill Sans MT" w:cstheme="majorBidi"/>
      <w:b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325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2104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525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5118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63516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993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69157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7627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0156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1749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226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96782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69420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3097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4290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365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3290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7918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54348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843428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70555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6663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7092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999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60371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52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06174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86778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55762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5319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4377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3322">
                          <w:marLeft w:val="34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7371">
                                  <w:blockQuote w:val="1"/>
                                  <w:marLeft w:val="72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434546">
                                      <w:blockQuote w:val="1"/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0764">
                                          <w:blockQuote w:val="1"/>
                                          <w:marLeft w:val="72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389574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81578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402071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617655">
                                              <w:blockQuote w:val="1"/>
                                              <w:marLeft w:val="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c\Downloads\Policy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2BDC-8692-4ACE-AB01-4A909AC3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Policy-template (1).dotx</Template>
  <TotalTime>0</TotalTime>
  <Pages>7</Pages>
  <Words>1178</Words>
  <Characters>6717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Natalie</dc:creator>
  <cp:lastModifiedBy>Lowe, Michelle</cp:lastModifiedBy>
  <cp:revision>2</cp:revision>
  <dcterms:created xsi:type="dcterms:W3CDTF">2019-10-28T00:22:00Z</dcterms:created>
  <dcterms:modified xsi:type="dcterms:W3CDTF">2019-10-28T00:22:00Z</dcterms:modified>
</cp:coreProperties>
</file>