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267C3" w14:textId="21C567E9" w:rsidR="001E135E" w:rsidRPr="00547C62" w:rsidRDefault="00D641F3" w:rsidP="00170D54">
      <w:pPr>
        <w:pStyle w:val="Title"/>
      </w:pPr>
      <w:bookmarkStart w:id="0" w:name="_GoBack"/>
      <w:bookmarkEnd w:id="0"/>
      <w:r w:rsidRPr="00547C62">
        <w:t xml:space="preserve">Retail Leases </w:t>
      </w:r>
      <w:r w:rsidRPr="00547C62">
        <w:br/>
        <w:t>in Tasmania</w:t>
      </w:r>
    </w:p>
    <w:p w14:paraId="23936E52" w14:textId="73C81A8A" w:rsidR="00084941" w:rsidRPr="00547C62" w:rsidRDefault="00D641F3" w:rsidP="00170D54">
      <w:pPr>
        <w:pStyle w:val="Subtitle"/>
      </w:pPr>
      <w:r w:rsidRPr="00547C62">
        <w:t>Discussion Paper</w:t>
      </w:r>
    </w:p>
    <w:p w14:paraId="5EAF0536" w14:textId="726BCD1E" w:rsidR="00F746A8" w:rsidRPr="00547C62" w:rsidRDefault="008E420F" w:rsidP="00170D54">
      <w:pPr>
        <w:pStyle w:val="Subtitle"/>
      </w:pPr>
      <w:r>
        <w:fldChar w:fldCharType="begin"/>
      </w:r>
      <w:r>
        <w:instrText xml:space="preserve"> DOCPROPERTY  VersionDate  \* MERGEFORMAT </w:instrText>
      </w:r>
      <w:r>
        <w:fldChar w:fldCharType="separate"/>
      </w:r>
      <w:r w:rsidR="00F1229D">
        <w:t>October 2019</w:t>
      </w:r>
      <w:r>
        <w:fldChar w:fldCharType="end"/>
      </w:r>
      <w:r w:rsidR="00F746A8" w:rsidRPr="00547C62">
        <w:t xml:space="preserve"> </w:t>
      </w:r>
      <w:r w:rsidR="002D4FF0">
        <w:t xml:space="preserve"> </w:t>
      </w:r>
      <w:r w:rsidR="00F746A8" w:rsidRPr="00547C62">
        <w:t xml:space="preserve">Version </w:t>
      </w:r>
      <w:r w:rsidR="002D4FF0">
        <w:t>1.0</w:t>
      </w:r>
    </w:p>
    <w:p w14:paraId="5DF6B359" w14:textId="5F940583" w:rsidR="00084941" w:rsidRDefault="00084941" w:rsidP="00170D54">
      <w:pPr>
        <w:pStyle w:val="Subtitle"/>
      </w:pPr>
      <w:r>
        <w:br w:type="page"/>
      </w:r>
    </w:p>
    <w:p w14:paraId="70A5AC27" w14:textId="77777777" w:rsidR="00F35892" w:rsidRDefault="00F35892" w:rsidP="00170D54">
      <w:pPr>
        <w:rPr>
          <w:lang w:val="en-GB"/>
        </w:rPr>
      </w:pPr>
    </w:p>
    <w:sdt>
      <w:sdtPr>
        <w:rPr>
          <w:rFonts w:asciiTheme="minorHAnsi" w:eastAsiaTheme="minorHAnsi" w:hAnsiTheme="minorHAnsi" w:cs="Times New Roman (Body CS)"/>
          <w:b w:val="0"/>
          <w:color w:val="auto"/>
          <w:sz w:val="22"/>
          <w:szCs w:val="24"/>
        </w:rPr>
        <w:id w:val="799888407"/>
        <w:docPartObj>
          <w:docPartGallery w:val="Table of Contents"/>
          <w:docPartUnique/>
        </w:docPartObj>
      </w:sdtPr>
      <w:sdtEndPr>
        <w:rPr>
          <w:noProof/>
        </w:rPr>
      </w:sdtEndPr>
      <w:sdtContent>
        <w:p w14:paraId="33D392D7" w14:textId="638A15C8" w:rsidR="000B193F" w:rsidRDefault="000B193F" w:rsidP="000E2B44">
          <w:pPr>
            <w:pStyle w:val="TOCHeading"/>
          </w:pPr>
          <w:r>
            <w:t>Contents</w:t>
          </w:r>
        </w:p>
        <w:p w14:paraId="23547F43" w14:textId="521389D1" w:rsidR="00833F56" w:rsidRDefault="000B193F">
          <w:pPr>
            <w:pStyle w:val="TOC1"/>
            <w:rPr>
              <w:rFonts w:asciiTheme="minorHAnsi" w:eastAsiaTheme="minorEastAsia" w:hAnsiTheme="minorHAnsi" w:cstheme="minorBidi"/>
              <w:b w:val="0"/>
              <w:bCs w:val="0"/>
              <w:sz w:val="22"/>
              <w:szCs w:val="22"/>
              <w:lang w:eastAsia="en-AU"/>
            </w:rPr>
          </w:pPr>
          <w:r>
            <w:rPr>
              <w:caps/>
            </w:rPr>
            <w:fldChar w:fldCharType="begin"/>
          </w:r>
          <w:r>
            <w:rPr>
              <w:caps/>
            </w:rPr>
            <w:instrText xml:space="preserve"> TOC \o "1-2" \h \z \u </w:instrText>
          </w:r>
          <w:r>
            <w:rPr>
              <w:caps/>
            </w:rPr>
            <w:fldChar w:fldCharType="separate"/>
          </w:r>
          <w:hyperlink w:anchor="_Toc20841085" w:history="1">
            <w:r w:rsidR="00833F56" w:rsidRPr="008647B7">
              <w:rPr>
                <w:rStyle w:val="Hyperlink"/>
              </w:rPr>
              <w:t>Introduction</w:t>
            </w:r>
            <w:r w:rsidR="00833F56">
              <w:rPr>
                <w:webHidden/>
              </w:rPr>
              <w:tab/>
            </w:r>
            <w:r w:rsidR="00833F56">
              <w:rPr>
                <w:webHidden/>
              </w:rPr>
              <w:fldChar w:fldCharType="begin"/>
            </w:r>
            <w:r w:rsidR="00833F56">
              <w:rPr>
                <w:webHidden/>
              </w:rPr>
              <w:instrText xml:space="preserve"> PAGEREF _Toc20841085 \h </w:instrText>
            </w:r>
            <w:r w:rsidR="00833F56">
              <w:rPr>
                <w:webHidden/>
              </w:rPr>
            </w:r>
            <w:r w:rsidR="00833F56">
              <w:rPr>
                <w:webHidden/>
              </w:rPr>
              <w:fldChar w:fldCharType="separate"/>
            </w:r>
            <w:r w:rsidR="00833F56">
              <w:rPr>
                <w:webHidden/>
              </w:rPr>
              <w:t>3</w:t>
            </w:r>
            <w:r w:rsidR="00833F56">
              <w:rPr>
                <w:webHidden/>
              </w:rPr>
              <w:fldChar w:fldCharType="end"/>
            </w:r>
          </w:hyperlink>
        </w:p>
        <w:p w14:paraId="7BA2E515" w14:textId="6437865C" w:rsidR="00833F56" w:rsidRDefault="008E420F">
          <w:pPr>
            <w:pStyle w:val="TOC2"/>
            <w:rPr>
              <w:rFonts w:eastAsiaTheme="minorEastAsia" w:cstheme="minorBidi"/>
              <w:b w:val="0"/>
              <w:bCs w:val="0"/>
              <w:sz w:val="22"/>
              <w:szCs w:val="22"/>
              <w:lang w:eastAsia="en-AU"/>
            </w:rPr>
          </w:pPr>
          <w:hyperlink w:anchor="_Toc20841086" w:history="1">
            <w:r w:rsidR="00833F56" w:rsidRPr="008647B7">
              <w:rPr>
                <w:rStyle w:val="Hyperlink"/>
              </w:rPr>
              <w:t>Scope of discussion paper</w:t>
            </w:r>
            <w:r w:rsidR="00833F56">
              <w:rPr>
                <w:webHidden/>
              </w:rPr>
              <w:tab/>
            </w:r>
            <w:r w:rsidR="00833F56">
              <w:rPr>
                <w:webHidden/>
              </w:rPr>
              <w:fldChar w:fldCharType="begin"/>
            </w:r>
            <w:r w:rsidR="00833F56">
              <w:rPr>
                <w:webHidden/>
              </w:rPr>
              <w:instrText xml:space="preserve"> PAGEREF _Toc20841086 \h </w:instrText>
            </w:r>
            <w:r w:rsidR="00833F56">
              <w:rPr>
                <w:webHidden/>
              </w:rPr>
            </w:r>
            <w:r w:rsidR="00833F56">
              <w:rPr>
                <w:webHidden/>
              </w:rPr>
              <w:fldChar w:fldCharType="separate"/>
            </w:r>
            <w:r w:rsidR="00833F56">
              <w:rPr>
                <w:webHidden/>
              </w:rPr>
              <w:t>3</w:t>
            </w:r>
            <w:r w:rsidR="00833F56">
              <w:rPr>
                <w:webHidden/>
              </w:rPr>
              <w:fldChar w:fldCharType="end"/>
            </w:r>
          </w:hyperlink>
        </w:p>
        <w:p w14:paraId="333B5C3A" w14:textId="0509E9E8" w:rsidR="00833F56" w:rsidRDefault="008E420F">
          <w:pPr>
            <w:pStyle w:val="TOC2"/>
            <w:rPr>
              <w:rFonts w:eastAsiaTheme="minorEastAsia" w:cstheme="minorBidi"/>
              <w:b w:val="0"/>
              <w:bCs w:val="0"/>
              <w:sz w:val="22"/>
              <w:szCs w:val="22"/>
              <w:lang w:eastAsia="en-AU"/>
            </w:rPr>
          </w:pPr>
          <w:hyperlink w:anchor="_Toc20841087" w:history="1">
            <w:r w:rsidR="00833F56" w:rsidRPr="008647B7">
              <w:rPr>
                <w:rStyle w:val="Hyperlink"/>
              </w:rPr>
              <w:t>How to make a submission</w:t>
            </w:r>
            <w:r w:rsidR="00833F56">
              <w:rPr>
                <w:webHidden/>
              </w:rPr>
              <w:tab/>
            </w:r>
            <w:r w:rsidR="00833F56">
              <w:rPr>
                <w:webHidden/>
              </w:rPr>
              <w:fldChar w:fldCharType="begin"/>
            </w:r>
            <w:r w:rsidR="00833F56">
              <w:rPr>
                <w:webHidden/>
              </w:rPr>
              <w:instrText xml:space="preserve"> PAGEREF _Toc20841087 \h </w:instrText>
            </w:r>
            <w:r w:rsidR="00833F56">
              <w:rPr>
                <w:webHidden/>
              </w:rPr>
            </w:r>
            <w:r w:rsidR="00833F56">
              <w:rPr>
                <w:webHidden/>
              </w:rPr>
              <w:fldChar w:fldCharType="separate"/>
            </w:r>
            <w:r w:rsidR="00833F56">
              <w:rPr>
                <w:webHidden/>
              </w:rPr>
              <w:t>3</w:t>
            </w:r>
            <w:r w:rsidR="00833F56">
              <w:rPr>
                <w:webHidden/>
              </w:rPr>
              <w:fldChar w:fldCharType="end"/>
            </w:r>
          </w:hyperlink>
        </w:p>
        <w:p w14:paraId="074DF1D1" w14:textId="7C35F84C" w:rsidR="00833F56" w:rsidRDefault="008E420F">
          <w:pPr>
            <w:pStyle w:val="TOC2"/>
            <w:rPr>
              <w:rFonts w:eastAsiaTheme="minorEastAsia" w:cstheme="minorBidi"/>
              <w:b w:val="0"/>
              <w:bCs w:val="0"/>
              <w:sz w:val="22"/>
              <w:szCs w:val="22"/>
              <w:lang w:eastAsia="en-AU"/>
            </w:rPr>
          </w:pPr>
          <w:hyperlink w:anchor="_Toc20841088" w:history="1">
            <w:r w:rsidR="00833F56" w:rsidRPr="008647B7">
              <w:rPr>
                <w:rStyle w:val="Hyperlink"/>
              </w:rPr>
              <w:t>Publishing submissions</w:t>
            </w:r>
            <w:r w:rsidR="00833F56">
              <w:rPr>
                <w:webHidden/>
              </w:rPr>
              <w:tab/>
            </w:r>
            <w:r w:rsidR="00833F56">
              <w:rPr>
                <w:webHidden/>
              </w:rPr>
              <w:fldChar w:fldCharType="begin"/>
            </w:r>
            <w:r w:rsidR="00833F56">
              <w:rPr>
                <w:webHidden/>
              </w:rPr>
              <w:instrText xml:space="preserve"> PAGEREF _Toc20841088 \h </w:instrText>
            </w:r>
            <w:r w:rsidR="00833F56">
              <w:rPr>
                <w:webHidden/>
              </w:rPr>
            </w:r>
            <w:r w:rsidR="00833F56">
              <w:rPr>
                <w:webHidden/>
              </w:rPr>
              <w:fldChar w:fldCharType="separate"/>
            </w:r>
            <w:r w:rsidR="00833F56">
              <w:rPr>
                <w:webHidden/>
              </w:rPr>
              <w:t>3</w:t>
            </w:r>
            <w:r w:rsidR="00833F56">
              <w:rPr>
                <w:webHidden/>
              </w:rPr>
              <w:fldChar w:fldCharType="end"/>
            </w:r>
          </w:hyperlink>
        </w:p>
        <w:p w14:paraId="5442A31C" w14:textId="417063F3" w:rsidR="00833F56" w:rsidRDefault="008E420F">
          <w:pPr>
            <w:pStyle w:val="TOC1"/>
            <w:rPr>
              <w:rFonts w:asciiTheme="minorHAnsi" w:eastAsiaTheme="minorEastAsia" w:hAnsiTheme="minorHAnsi" w:cstheme="minorBidi"/>
              <w:b w:val="0"/>
              <w:bCs w:val="0"/>
              <w:sz w:val="22"/>
              <w:szCs w:val="22"/>
              <w:lang w:eastAsia="en-AU"/>
            </w:rPr>
          </w:pPr>
          <w:hyperlink w:anchor="_Toc20841089" w:history="1">
            <w:r w:rsidR="00833F56" w:rsidRPr="008647B7">
              <w:rPr>
                <w:rStyle w:val="Hyperlink"/>
              </w:rPr>
              <w:t>Key areas for discussion</w:t>
            </w:r>
            <w:r w:rsidR="00833F56">
              <w:rPr>
                <w:webHidden/>
              </w:rPr>
              <w:tab/>
            </w:r>
            <w:r w:rsidR="00833F56">
              <w:rPr>
                <w:webHidden/>
              </w:rPr>
              <w:fldChar w:fldCharType="begin"/>
            </w:r>
            <w:r w:rsidR="00833F56">
              <w:rPr>
                <w:webHidden/>
              </w:rPr>
              <w:instrText xml:space="preserve"> PAGEREF _Toc20841089 \h </w:instrText>
            </w:r>
            <w:r w:rsidR="00833F56">
              <w:rPr>
                <w:webHidden/>
              </w:rPr>
            </w:r>
            <w:r w:rsidR="00833F56">
              <w:rPr>
                <w:webHidden/>
              </w:rPr>
              <w:fldChar w:fldCharType="separate"/>
            </w:r>
            <w:r w:rsidR="00833F56">
              <w:rPr>
                <w:webHidden/>
              </w:rPr>
              <w:t>4</w:t>
            </w:r>
            <w:r w:rsidR="00833F56">
              <w:rPr>
                <w:webHidden/>
              </w:rPr>
              <w:fldChar w:fldCharType="end"/>
            </w:r>
          </w:hyperlink>
        </w:p>
        <w:p w14:paraId="1B784E41" w14:textId="6600A6C3" w:rsidR="00833F56" w:rsidRDefault="008E420F">
          <w:pPr>
            <w:pStyle w:val="TOC2"/>
            <w:rPr>
              <w:rFonts w:eastAsiaTheme="minorEastAsia" w:cstheme="minorBidi"/>
              <w:b w:val="0"/>
              <w:bCs w:val="0"/>
              <w:sz w:val="22"/>
              <w:szCs w:val="22"/>
              <w:lang w:eastAsia="en-AU"/>
            </w:rPr>
          </w:pPr>
          <w:hyperlink w:anchor="_Toc20841090" w:history="1">
            <w:r w:rsidR="00833F56" w:rsidRPr="008647B7">
              <w:rPr>
                <w:rStyle w:val="Hyperlink"/>
              </w:rPr>
              <w:t>How do we define a “retail premises”?</w:t>
            </w:r>
            <w:r w:rsidR="00833F56">
              <w:rPr>
                <w:webHidden/>
              </w:rPr>
              <w:tab/>
            </w:r>
            <w:r w:rsidR="00833F56">
              <w:rPr>
                <w:webHidden/>
              </w:rPr>
              <w:fldChar w:fldCharType="begin"/>
            </w:r>
            <w:r w:rsidR="00833F56">
              <w:rPr>
                <w:webHidden/>
              </w:rPr>
              <w:instrText xml:space="preserve"> PAGEREF _Toc20841090 \h </w:instrText>
            </w:r>
            <w:r w:rsidR="00833F56">
              <w:rPr>
                <w:webHidden/>
              </w:rPr>
            </w:r>
            <w:r w:rsidR="00833F56">
              <w:rPr>
                <w:webHidden/>
              </w:rPr>
              <w:fldChar w:fldCharType="separate"/>
            </w:r>
            <w:r w:rsidR="00833F56">
              <w:rPr>
                <w:webHidden/>
              </w:rPr>
              <w:t>4</w:t>
            </w:r>
            <w:r w:rsidR="00833F56">
              <w:rPr>
                <w:webHidden/>
              </w:rPr>
              <w:fldChar w:fldCharType="end"/>
            </w:r>
          </w:hyperlink>
        </w:p>
        <w:p w14:paraId="715EC85C" w14:textId="4841542E" w:rsidR="00833F56" w:rsidRDefault="008E420F">
          <w:pPr>
            <w:pStyle w:val="TOC2"/>
            <w:rPr>
              <w:rFonts w:eastAsiaTheme="minorEastAsia" w:cstheme="minorBidi"/>
              <w:b w:val="0"/>
              <w:bCs w:val="0"/>
              <w:sz w:val="22"/>
              <w:szCs w:val="22"/>
              <w:lang w:eastAsia="en-AU"/>
            </w:rPr>
          </w:pPr>
          <w:hyperlink w:anchor="_Toc20841091" w:history="1">
            <w:r w:rsidR="00833F56" w:rsidRPr="008647B7">
              <w:rPr>
                <w:rStyle w:val="Hyperlink"/>
              </w:rPr>
              <w:t>Entering a lease</w:t>
            </w:r>
            <w:r w:rsidR="00833F56">
              <w:rPr>
                <w:webHidden/>
              </w:rPr>
              <w:tab/>
            </w:r>
            <w:r w:rsidR="00833F56">
              <w:rPr>
                <w:webHidden/>
              </w:rPr>
              <w:fldChar w:fldCharType="begin"/>
            </w:r>
            <w:r w:rsidR="00833F56">
              <w:rPr>
                <w:webHidden/>
              </w:rPr>
              <w:instrText xml:space="preserve"> PAGEREF _Toc20841091 \h </w:instrText>
            </w:r>
            <w:r w:rsidR="00833F56">
              <w:rPr>
                <w:webHidden/>
              </w:rPr>
            </w:r>
            <w:r w:rsidR="00833F56">
              <w:rPr>
                <w:webHidden/>
              </w:rPr>
              <w:fldChar w:fldCharType="separate"/>
            </w:r>
            <w:r w:rsidR="00833F56">
              <w:rPr>
                <w:webHidden/>
              </w:rPr>
              <w:t>5</w:t>
            </w:r>
            <w:r w:rsidR="00833F56">
              <w:rPr>
                <w:webHidden/>
              </w:rPr>
              <w:fldChar w:fldCharType="end"/>
            </w:r>
          </w:hyperlink>
        </w:p>
        <w:p w14:paraId="5C396CD4" w14:textId="228EC40D" w:rsidR="00833F56" w:rsidRDefault="008E420F">
          <w:pPr>
            <w:pStyle w:val="TOC2"/>
            <w:rPr>
              <w:rFonts w:eastAsiaTheme="minorEastAsia" w:cstheme="minorBidi"/>
              <w:b w:val="0"/>
              <w:bCs w:val="0"/>
              <w:sz w:val="22"/>
              <w:szCs w:val="22"/>
              <w:lang w:eastAsia="en-AU"/>
            </w:rPr>
          </w:pPr>
          <w:hyperlink w:anchor="_Toc20841092" w:history="1">
            <w:r w:rsidR="00833F56" w:rsidRPr="008647B7">
              <w:rPr>
                <w:rStyle w:val="Hyperlink"/>
              </w:rPr>
              <w:t>Rent</w:t>
            </w:r>
            <w:r w:rsidR="00833F56">
              <w:rPr>
                <w:webHidden/>
              </w:rPr>
              <w:tab/>
            </w:r>
            <w:r w:rsidR="00833F56">
              <w:rPr>
                <w:webHidden/>
              </w:rPr>
              <w:fldChar w:fldCharType="begin"/>
            </w:r>
            <w:r w:rsidR="00833F56">
              <w:rPr>
                <w:webHidden/>
              </w:rPr>
              <w:instrText xml:space="preserve"> PAGEREF _Toc20841092 \h </w:instrText>
            </w:r>
            <w:r w:rsidR="00833F56">
              <w:rPr>
                <w:webHidden/>
              </w:rPr>
            </w:r>
            <w:r w:rsidR="00833F56">
              <w:rPr>
                <w:webHidden/>
              </w:rPr>
              <w:fldChar w:fldCharType="separate"/>
            </w:r>
            <w:r w:rsidR="00833F56">
              <w:rPr>
                <w:webHidden/>
              </w:rPr>
              <w:t>6</w:t>
            </w:r>
            <w:r w:rsidR="00833F56">
              <w:rPr>
                <w:webHidden/>
              </w:rPr>
              <w:fldChar w:fldCharType="end"/>
            </w:r>
          </w:hyperlink>
        </w:p>
        <w:p w14:paraId="2210E127" w14:textId="119EBB41" w:rsidR="00833F56" w:rsidRDefault="008E420F">
          <w:pPr>
            <w:pStyle w:val="TOC2"/>
            <w:rPr>
              <w:rFonts w:eastAsiaTheme="minorEastAsia" w:cstheme="minorBidi"/>
              <w:b w:val="0"/>
              <w:bCs w:val="0"/>
              <w:sz w:val="22"/>
              <w:szCs w:val="22"/>
              <w:lang w:eastAsia="en-AU"/>
            </w:rPr>
          </w:pPr>
          <w:hyperlink w:anchor="_Toc20841093" w:history="1">
            <w:r w:rsidR="00833F56" w:rsidRPr="008647B7">
              <w:rPr>
                <w:rStyle w:val="Hyperlink"/>
              </w:rPr>
              <w:t>Outgoings</w:t>
            </w:r>
            <w:r w:rsidR="00833F56">
              <w:rPr>
                <w:webHidden/>
              </w:rPr>
              <w:tab/>
            </w:r>
            <w:r w:rsidR="00833F56">
              <w:rPr>
                <w:webHidden/>
              </w:rPr>
              <w:fldChar w:fldCharType="begin"/>
            </w:r>
            <w:r w:rsidR="00833F56">
              <w:rPr>
                <w:webHidden/>
              </w:rPr>
              <w:instrText xml:space="preserve"> PAGEREF _Toc20841093 \h </w:instrText>
            </w:r>
            <w:r w:rsidR="00833F56">
              <w:rPr>
                <w:webHidden/>
              </w:rPr>
            </w:r>
            <w:r w:rsidR="00833F56">
              <w:rPr>
                <w:webHidden/>
              </w:rPr>
              <w:fldChar w:fldCharType="separate"/>
            </w:r>
            <w:r w:rsidR="00833F56">
              <w:rPr>
                <w:webHidden/>
              </w:rPr>
              <w:t>7</w:t>
            </w:r>
            <w:r w:rsidR="00833F56">
              <w:rPr>
                <w:webHidden/>
              </w:rPr>
              <w:fldChar w:fldCharType="end"/>
            </w:r>
          </w:hyperlink>
        </w:p>
        <w:p w14:paraId="7C9A4A5D" w14:textId="659A791E" w:rsidR="00833F56" w:rsidRDefault="008E420F">
          <w:pPr>
            <w:pStyle w:val="TOC2"/>
            <w:rPr>
              <w:rFonts w:eastAsiaTheme="minorEastAsia" w:cstheme="minorBidi"/>
              <w:b w:val="0"/>
              <w:bCs w:val="0"/>
              <w:sz w:val="22"/>
              <w:szCs w:val="22"/>
              <w:lang w:eastAsia="en-AU"/>
            </w:rPr>
          </w:pPr>
          <w:hyperlink w:anchor="_Toc20841094" w:history="1">
            <w:r w:rsidR="00833F56" w:rsidRPr="008647B7">
              <w:rPr>
                <w:rStyle w:val="Hyperlink"/>
              </w:rPr>
              <w:t>Interference with retail tenancy during the lease</w:t>
            </w:r>
            <w:r w:rsidR="00833F56">
              <w:rPr>
                <w:webHidden/>
              </w:rPr>
              <w:tab/>
            </w:r>
            <w:r w:rsidR="00833F56">
              <w:rPr>
                <w:webHidden/>
              </w:rPr>
              <w:fldChar w:fldCharType="begin"/>
            </w:r>
            <w:r w:rsidR="00833F56">
              <w:rPr>
                <w:webHidden/>
              </w:rPr>
              <w:instrText xml:space="preserve"> PAGEREF _Toc20841094 \h </w:instrText>
            </w:r>
            <w:r w:rsidR="00833F56">
              <w:rPr>
                <w:webHidden/>
              </w:rPr>
            </w:r>
            <w:r w:rsidR="00833F56">
              <w:rPr>
                <w:webHidden/>
              </w:rPr>
              <w:fldChar w:fldCharType="separate"/>
            </w:r>
            <w:r w:rsidR="00833F56">
              <w:rPr>
                <w:webHidden/>
              </w:rPr>
              <w:t>7</w:t>
            </w:r>
            <w:r w:rsidR="00833F56">
              <w:rPr>
                <w:webHidden/>
              </w:rPr>
              <w:fldChar w:fldCharType="end"/>
            </w:r>
          </w:hyperlink>
        </w:p>
        <w:p w14:paraId="4623D0A4" w14:textId="08A17927" w:rsidR="00833F56" w:rsidRDefault="008E420F">
          <w:pPr>
            <w:pStyle w:val="TOC2"/>
            <w:rPr>
              <w:rFonts w:eastAsiaTheme="minorEastAsia" w:cstheme="minorBidi"/>
              <w:b w:val="0"/>
              <w:bCs w:val="0"/>
              <w:sz w:val="22"/>
              <w:szCs w:val="22"/>
              <w:lang w:eastAsia="en-AU"/>
            </w:rPr>
          </w:pPr>
          <w:hyperlink w:anchor="_Toc20841095" w:history="1">
            <w:r w:rsidR="00833F56" w:rsidRPr="008647B7">
              <w:rPr>
                <w:rStyle w:val="Hyperlink"/>
              </w:rPr>
              <w:t>Subletting or transferring a lease</w:t>
            </w:r>
            <w:r w:rsidR="00833F56">
              <w:rPr>
                <w:webHidden/>
              </w:rPr>
              <w:tab/>
            </w:r>
            <w:r w:rsidR="00833F56">
              <w:rPr>
                <w:webHidden/>
              </w:rPr>
              <w:fldChar w:fldCharType="begin"/>
            </w:r>
            <w:r w:rsidR="00833F56">
              <w:rPr>
                <w:webHidden/>
              </w:rPr>
              <w:instrText xml:space="preserve"> PAGEREF _Toc20841095 \h </w:instrText>
            </w:r>
            <w:r w:rsidR="00833F56">
              <w:rPr>
                <w:webHidden/>
              </w:rPr>
            </w:r>
            <w:r w:rsidR="00833F56">
              <w:rPr>
                <w:webHidden/>
              </w:rPr>
              <w:fldChar w:fldCharType="separate"/>
            </w:r>
            <w:r w:rsidR="00833F56">
              <w:rPr>
                <w:webHidden/>
              </w:rPr>
              <w:t>8</w:t>
            </w:r>
            <w:r w:rsidR="00833F56">
              <w:rPr>
                <w:webHidden/>
              </w:rPr>
              <w:fldChar w:fldCharType="end"/>
            </w:r>
          </w:hyperlink>
        </w:p>
        <w:p w14:paraId="6707EAFC" w14:textId="7A0ADCDB" w:rsidR="00833F56" w:rsidRDefault="008E420F">
          <w:pPr>
            <w:pStyle w:val="TOC2"/>
            <w:rPr>
              <w:rFonts w:eastAsiaTheme="minorEastAsia" w:cstheme="minorBidi"/>
              <w:b w:val="0"/>
              <w:bCs w:val="0"/>
              <w:sz w:val="22"/>
              <w:szCs w:val="22"/>
              <w:lang w:eastAsia="en-AU"/>
            </w:rPr>
          </w:pPr>
          <w:hyperlink w:anchor="_Toc20841096" w:history="1">
            <w:r w:rsidR="00833F56" w:rsidRPr="008647B7">
              <w:rPr>
                <w:rStyle w:val="Hyperlink"/>
              </w:rPr>
              <w:t>Renewing or ending a lease</w:t>
            </w:r>
            <w:r w:rsidR="00833F56">
              <w:rPr>
                <w:webHidden/>
              </w:rPr>
              <w:tab/>
            </w:r>
            <w:r w:rsidR="00833F56">
              <w:rPr>
                <w:webHidden/>
              </w:rPr>
              <w:fldChar w:fldCharType="begin"/>
            </w:r>
            <w:r w:rsidR="00833F56">
              <w:rPr>
                <w:webHidden/>
              </w:rPr>
              <w:instrText xml:space="preserve"> PAGEREF _Toc20841096 \h </w:instrText>
            </w:r>
            <w:r w:rsidR="00833F56">
              <w:rPr>
                <w:webHidden/>
              </w:rPr>
            </w:r>
            <w:r w:rsidR="00833F56">
              <w:rPr>
                <w:webHidden/>
              </w:rPr>
              <w:fldChar w:fldCharType="separate"/>
            </w:r>
            <w:r w:rsidR="00833F56">
              <w:rPr>
                <w:webHidden/>
              </w:rPr>
              <w:t>8</w:t>
            </w:r>
            <w:r w:rsidR="00833F56">
              <w:rPr>
                <w:webHidden/>
              </w:rPr>
              <w:fldChar w:fldCharType="end"/>
            </w:r>
          </w:hyperlink>
        </w:p>
        <w:p w14:paraId="35CEA35C" w14:textId="54437E79" w:rsidR="00833F56" w:rsidRDefault="008E420F">
          <w:pPr>
            <w:pStyle w:val="TOC2"/>
            <w:rPr>
              <w:rFonts w:eastAsiaTheme="minorEastAsia" w:cstheme="minorBidi"/>
              <w:b w:val="0"/>
              <w:bCs w:val="0"/>
              <w:sz w:val="22"/>
              <w:szCs w:val="22"/>
              <w:lang w:eastAsia="en-AU"/>
            </w:rPr>
          </w:pPr>
          <w:hyperlink w:anchor="_Toc20841097" w:history="1">
            <w:r w:rsidR="00833F56" w:rsidRPr="008647B7">
              <w:rPr>
                <w:rStyle w:val="Hyperlink"/>
              </w:rPr>
              <w:t>Special provisions for shopping centres</w:t>
            </w:r>
            <w:r w:rsidR="00833F56">
              <w:rPr>
                <w:webHidden/>
              </w:rPr>
              <w:tab/>
            </w:r>
            <w:r w:rsidR="00833F56">
              <w:rPr>
                <w:webHidden/>
              </w:rPr>
              <w:fldChar w:fldCharType="begin"/>
            </w:r>
            <w:r w:rsidR="00833F56">
              <w:rPr>
                <w:webHidden/>
              </w:rPr>
              <w:instrText xml:space="preserve"> PAGEREF _Toc20841097 \h </w:instrText>
            </w:r>
            <w:r w:rsidR="00833F56">
              <w:rPr>
                <w:webHidden/>
              </w:rPr>
            </w:r>
            <w:r w:rsidR="00833F56">
              <w:rPr>
                <w:webHidden/>
              </w:rPr>
              <w:fldChar w:fldCharType="separate"/>
            </w:r>
            <w:r w:rsidR="00833F56">
              <w:rPr>
                <w:webHidden/>
              </w:rPr>
              <w:t>8</w:t>
            </w:r>
            <w:r w:rsidR="00833F56">
              <w:rPr>
                <w:webHidden/>
              </w:rPr>
              <w:fldChar w:fldCharType="end"/>
            </w:r>
          </w:hyperlink>
        </w:p>
        <w:p w14:paraId="535DC3C8" w14:textId="0F9ABC22" w:rsidR="00833F56" w:rsidRDefault="008E420F">
          <w:pPr>
            <w:pStyle w:val="TOC2"/>
            <w:rPr>
              <w:rFonts w:eastAsiaTheme="minorEastAsia" w:cstheme="minorBidi"/>
              <w:b w:val="0"/>
              <w:bCs w:val="0"/>
              <w:sz w:val="22"/>
              <w:szCs w:val="22"/>
              <w:lang w:eastAsia="en-AU"/>
            </w:rPr>
          </w:pPr>
          <w:hyperlink w:anchor="_Toc20841098" w:history="1">
            <w:r w:rsidR="00833F56" w:rsidRPr="008647B7">
              <w:rPr>
                <w:rStyle w:val="Hyperlink"/>
              </w:rPr>
              <w:t>Dealing with complaints and disputes</w:t>
            </w:r>
            <w:r w:rsidR="00833F56">
              <w:rPr>
                <w:webHidden/>
              </w:rPr>
              <w:tab/>
            </w:r>
            <w:r w:rsidR="00833F56">
              <w:rPr>
                <w:webHidden/>
              </w:rPr>
              <w:fldChar w:fldCharType="begin"/>
            </w:r>
            <w:r w:rsidR="00833F56">
              <w:rPr>
                <w:webHidden/>
              </w:rPr>
              <w:instrText xml:space="preserve"> PAGEREF _Toc20841098 \h </w:instrText>
            </w:r>
            <w:r w:rsidR="00833F56">
              <w:rPr>
                <w:webHidden/>
              </w:rPr>
            </w:r>
            <w:r w:rsidR="00833F56">
              <w:rPr>
                <w:webHidden/>
              </w:rPr>
              <w:fldChar w:fldCharType="separate"/>
            </w:r>
            <w:r w:rsidR="00833F56">
              <w:rPr>
                <w:webHidden/>
              </w:rPr>
              <w:t>9</w:t>
            </w:r>
            <w:r w:rsidR="00833F56">
              <w:rPr>
                <w:webHidden/>
              </w:rPr>
              <w:fldChar w:fldCharType="end"/>
            </w:r>
          </w:hyperlink>
        </w:p>
        <w:p w14:paraId="4F2CB4CF" w14:textId="27063CA2" w:rsidR="00833F56" w:rsidRDefault="008E420F">
          <w:pPr>
            <w:pStyle w:val="TOC2"/>
            <w:rPr>
              <w:rFonts w:eastAsiaTheme="minorEastAsia" w:cstheme="minorBidi"/>
              <w:b w:val="0"/>
              <w:bCs w:val="0"/>
              <w:sz w:val="22"/>
              <w:szCs w:val="22"/>
              <w:lang w:eastAsia="en-AU"/>
            </w:rPr>
          </w:pPr>
          <w:hyperlink w:anchor="_Toc20841099" w:history="1">
            <w:r w:rsidR="00833F56" w:rsidRPr="008647B7">
              <w:rPr>
                <w:rStyle w:val="Hyperlink"/>
              </w:rPr>
              <w:t>Transition to new regulation</w:t>
            </w:r>
            <w:r w:rsidR="00833F56">
              <w:rPr>
                <w:webHidden/>
              </w:rPr>
              <w:tab/>
            </w:r>
            <w:r w:rsidR="00833F56">
              <w:rPr>
                <w:webHidden/>
              </w:rPr>
              <w:fldChar w:fldCharType="begin"/>
            </w:r>
            <w:r w:rsidR="00833F56">
              <w:rPr>
                <w:webHidden/>
              </w:rPr>
              <w:instrText xml:space="preserve"> PAGEREF _Toc20841099 \h </w:instrText>
            </w:r>
            <w:r w:rsidR="00833F56">
              <w:rPr>
                <w:webHidden/>
              </w:rPr>
            </w:r>
            <w:r w:rsidR="00833F56">
              <w:rPr>
                <w:webHidden/>
              </w:rPr>
              <w:fldChar w:fldCharType="separate"/>
            </w:r>
            <w:r w:rsidR="00833F56">
              <w:rPr>
                <w:webHidden/>
              </w:rPr>
              <w:t>9</w:t>
            </w:r>
            <w:r w:rsidR="00833F56">
              <w:rPr>
                <w:webHidden/>
              </w:rPr>
              <w:fldChar w:fldCharType="end"/>
            </w:r>
          </w:hyperlink>
        </w:p>
        <w:p w14:paraId="01214B49" w14:textId="7E637E3C" w:rsidR="00833F56" w:rsidRDefault="008E420F">
          <w:pPr>
            <w:pStyle w:val="TOC2"/>
            <w:rPr>
              <w:rFonts w:eastAsiaTheme="minorEastAsia" w:cstheme="minorBidi"/>
              <w:b w:val="0"/>
              <w:bCs w:val="0"/>
              <w:sz w:val="22"/>
              <w:szCs w:val="22"/>
              <w:lang w:eastAsia="en-AU"/>
            </w:rPr>
          </w:pPr>
          <w:hyperlink w:anchor="_Toc20841100" w:history="1">
            <w:r w:rsidR="00833F56" w:rsidRPr="008647B7">
              <w:rPr>
                <w:rStyle w:val="Hyperlink"/>
              </w:rPr>
              <w:t>Powers of the Director of Consumer Affairs and Fair Trading</w:t>
            </w:r>
            <w:r w:rsidR="00833F56">
              <w:rPr>
                <w:webHidden/>
              </w:rPr>
              <w:tab/>
            </w:r>
            <w:r w:rsidR="00833F56">
              <w:rPr>
                <w:webHidden/>
              </w:rPr>
              <w:fldChar w:fldCharType="begin"/>
            </w:r>
            <w:r w:rsidR="00833F56">
              <w:rPr>
                <w:webHidden/>
              </w:rPr>
              <w:instrText xml:space="preserve"> PAGEREF _Toc20841100 \h </w:instrText>
            </w:r>
            <w:r w:rsidR="00833F56">
              <w:rPr>
                <w:webHidden/>
              </w:rPr>
            </w:r>
            <w:r w:rsidR="00833F56">
              <w:rPr>
                <w:webHidden/>
              </w:rPr>
              <w:fldChar w:fldCharType="separate"/>
            </w:r>
            <w:r w:rsidR="00833F56">
              <w:rPr>
                <w:webHidden/>
              </w:rPr>
              <w:t>10</w:t>
            </w:r>
            <w:r w:rsidR="00833F56">
              <w:rPr>
                <w:webHidden/>
              </w:rPr>
              <w:fldChar w:fldCharType="end"/>
            </w:r>
          </w:hyperlink>
        </w:p>
        <w:p w14:paraId="7551DA13" w14:textId="231EBBD3" w:rsidR="00833F56" w:rsidRDefault="008E420F">
          <w:pPr>
            <w:pStyle w:val="TOC2"/>
            <w:rPr>
              <w:rFonts w:eastAsiaTheme="minorEastAsia" w:cstheme="minorBidi"/>
              <w:b w:val="0"/>
              <w:bCs w:val="0"/>
              <w:sz w:val="22"/>
              <w:szCs w:val="22"/>
              <w:lang w:eastAsia="en-AU"/>
            </w:rPr>
          </w:pPr>
          <w:hyperlink w:anchor="_Toc20841101" w:history="1">
            <w:r w:rsidR="00833F56" w:rsidRPr="008647B7">
              <w:rPr>
                <w:rStyle w:val="Hyperlink"/>
              </w:rPr>
              <w:t>Other considerations</w:t>
            </w:r>
            <w:r w:rsidR="00833F56">
              <w:rPr>
                <w:webHidden/>
              </w:rPr>
              <w:tab/>
            </w:r>
            <w:r w:rsidR="00833F56">
              <w:rPr>
                <w:webHidden/>
              </w:rPr>
              <w:fldChar w:fldCharType="begin"/>
            </w:r>
            <w:r w:rsidR="00833F56">
              <w:rPr>
                <w:webHidden/>
              </w:rPr>
              <w:instrText xml:space="preserve"> PAGEREF _Toc20841101 \h </w:instrText>
            </w:r>
            <w:r w:rsidR="00833F56">
              <w:rPr>
                <w:webHidden/>
              </w:rPr>
            </w:r>
            <w:r w:rsidR="00833F56">
              <w:rPr>
                <w:webHidden/>
              </w:rPr>
              <w:fldChar w:fldCharType="separate"/>
            </w:r>
            <w:r w:rsidR="00833F56">
              <w:rPr>
                <w:webHidden/>
              </w:rPr>
              <w:t>10</w:t>
            </w:r>
            <w:r w:rsidR="00833F56">
              <w:rPr>
                <w:webHidden/>
              </w:rPr>
              <w:fldChar w:fldCharType="end"/>
            </w:r>
          </w:hyperlink>
        </w:p>
        <w:p w14:paraId="602811B3" w14:textId="64ED2814" w:rsidR="00833F56" w:rsidRDefault="008E420F">
          <w:pPr>
            <w:pStyle w:val="TOC1"/>
            <w:rPr>
              <w:rFonts w:asciiTheme="minorHAnsi" w:eastAsiaTheme="minorEastAsia" w:hAnsiTheme="minorHAnsi" w:cstheme="minorBidi"/>
              <w:b w:val="0"/>
              <w:bCs w:val="0"/>
              <w:sz w:val="22"/>
              <w:szCs w:val="22"/>
              <w:lang w:eastAsia="en-AU"/>
            </w:rPr>
          </w:pPr>
          <w:hyperlink w:anchor="_Toc20841102" w:history="1">
            <w:r w:rsidR="00833F56" w:rsidRPr="008647B7">
              <w:rPr>
                <w:rStyle w:val="Hyperlink"/>
              </w:rPr>
              <w:t>What happens next?</w:t>
            </w:r>
            <w:r w:rsidR="00833F56">
              <w:rPr>
                <w:webHidden/>
              </w:rPr>
              <w:tab/>
            </w:r>
            <w:r w:rsidR="00833F56">
              <w:rPr>
                <w:webHidden/>
              </w:rPr>
              <w:fldChar w:fldCharType="begin"/>
            </w:r>
            <w:r w:rsidR="00833F56">
              <w:rPr>
                <w:webHidden/>
              </w:rPr>
              <w:instrText xml:space="preserve"> PAGEREF _Toc20841102 \h </w:instrText>
            </w:r>
            <w:r w:rsidR="00833F56">
              <w:rPr>
                <w:webHidden/>
              </w:rPr>
            </w:r>
            <w:r w:rsidR="00833F56">
              <w:rPr>
                <w:webHidden/>
              </w:rPr>
              <w:fldChar w:fldCharType="separate"/>
            </w:r>
            <w:r w:rsidR="00833F56">
              <w:rPr>
                <w:webHidden/>
              </w:rPr>
              <w:t>11</w:t>
            </w:r>
            <w:r w:rsidR="00833F56">
              <w:rPr>
                <w:webHidden/>
              </w:rPr>
              <w:fldChar w:fldCharType="end"/>
            </w:r>
          </w:hyperlink>
        </w:p>
        <w:p w14:paraId="56B50A09" w14:textId="279BE95E" w:rsidR="000B193F" w:rsidRDefault="000B193F" w:rsidP="00170D54">
          <w:r>
            <w:rPr>
              <w:rFonts w:asciiTheme="majorHAnsi" w:hAnsiTheme="majorHAnsi"/>
              <w:b/>
              <w:caps/>
              <w:sz w:val="24"/>
            </w:rPr>
            <w:fldChar w:fldCharType="end"/>
          </w:r>
        </w:p>
      </w:sdtContent>
    </w:sdt>
    <w:p w14:paraId="612B801C" w14:textId="0197B3A6" w:rsidR="00B23928" w:rsidRDefault="00B23928" w:rsidP="00170D54"/>
    <w:p w14:paraId="4B9F081F" w14:textId="7E88CCF3" w:rsidR="00B23928" w:rsidRPr="00B23928" w:rsidRDefault="00B23928" w:rsidP="00170D54">
      <w:pPr>
        <w:sectPr w:rsidR="00B23928" w:rsidRPr="00B23928" w:rsidSect="00882FD1">
          <w:footerReference w:type="even" r:id="rId8"/>
          <w:footerReference w:type="default" r:id="rId9"/>
          <w:headerReference w:type="first" r:id="rId10"/>
          <w:footerReference w:type="first" r:id="rId11"/>
          <w:pgSz w:w="11900" w:h="16840"/>
          <w:pgMar w:top="1134" w:right="1134" w:bottom="1701" w:left="1134" w:header="709" w:footer="373" w:gutter="0"/>
          <w:cols w:space="708"/>
          <w:titlePg/>
          <w:docGrid w:linePitch="360"/>
        </w:sectPr>
      </w:pPr>
    </w:p>
    <w:p w14:paraId="69FC0864" w14:textId="52596C9E" w:rsidR="00EA58C4" w:rsidRPr="000D78D4" w:rsidRDefault="008F1DFC" w:rsidP="000E2B44">
      <w:pPr>
        <w:pStyle w:val="Heading1"/>
      </w:pPr>
      <w:bookmarkStart w:id="1" w:name="_Toc16078229"/>
      <w:bookmarkStart w:id="2" w:name="_Toc16078248"/>
      <w:bookmarkStart w:id="3" w:name="_Toc20841085"/>
      <w:r w:rsidRPr="000D78D4">
        <w:lastRenderedPageBreak/>
        <w:t>Introduction</w:t>
      </w:r>
      <w:bookmarkEnd w:id="1"/>
      <w:bookmarkEnd w:id="2"/>
      <w:bookmarkEnd w:id="3"/>
    </w:p>
    <w:p w14:paraId="7E24870F" w14:textId="24AEC2CB" w:rsidR="00564DEF" w:rsidRDefault="008F1DFC" w:rsidP="00170D54">
      <w:r>
        <w:t xml:space="preserve">In Tasmania, lease arrangements between landlords and </w:t>
      </w:r>
      <w:r w:rsidR="00EB025C">
        <w:t xml:space="preserve">smaller </w:t>
      </w:r>
      <w:r>
        <w:t xml:space="preserve">retailers must currently comply with the </w:t>
      </w:r>
      <w:r w:rsidRPr="00D222EF">
        <w:t>Fair Trading (Code of Practice for Retail Tenancies) Regulations 1998</w:t>
      </w:r>
      <w:r>
        <w:t xml:space="preserve">, which </w:t>
      </w:r>
      <w:r w:rsidR="00EB025C">
        <w:t>are</w:t>
      </w:r>
      <w:r>
        <w:t xml:space="preserve"> due to expire in 2020.</w:t>
      </w:r>
    </w:p>
    <w:p w14:paraId="7D244F48" w14:textId="37E7DD24" w:rsidR="008F1DFC" w:rsidRDefault="008F1DFC" w:rsidP="00170D54">
      <w:r>
        <w:t xml:space="preserve">This Code of Practice is considered to be out of date and inadequate for the complexity of modern markets and leasing arrangements. </w:t>
      </w:r>
    </w:p>
    <w:p w14:paraId="67313E1E" w14:textId="219F6589" w:rsidR="00D13C87" w:rsidRPr="00022781" w:rsidRDefault="00EF28B1" w:rsidP="00EF28B1">
      <w:r w:rsidRPr="00022781">
        <w:t xml:space="preserve">The Tasmanian Government is committed to ensuring that public consultation processes are open and transparent and </w:t>
      </w:r>
      <w:r w:rsidR="00D12B9D" w:rsidRPr="00022781">
        <w:t xml:space="preserve">allow </w:t>
      </w:r>
      <w:r w:rsidR="00D13C87" w:rsidRPr="00022781">
        <w:t>everyone to have their say</w:t>
      </w:r>
      <w:r w:rsidR="00F91B24">
        <w:t>.</w:t>
      </w:r>
    </w:p>
    <w:p w14:paraId="5F7E84DE" w14:textId="26B516EA" w:rsidR="00D13C87" w:rsidRDefault="00F47FFC" w:rsidP="00EF28B1">
      <w:r w:rsidRPr="00022781">
        <w:t>This is a</w:t>
      </w:r>
      <w:r w:rsidR="00D111A6" w:rsidRPr="00022781">
        <w:t>n</w:t>
      </w:r>
      <w:r w:rsidRPr="00022781">
        <w:t xml:space="preserve"> opportunity for broad consultation on</w:t>
      </w:r>
      <w:r w:rsidR="00D12B9D" w:rsidRPr="00022781">
        <w:t xml:space="preserve"> retail l</w:t>
      </w:r>
      <w:r w:rsidRPr="00022781">
        <w:t>eases</w:t>
      </w:r>
      <w:r w:rsidR="00D12B9D" w:rsidRPr="00022781">
        <w:t>. W</w:t>
      </w:r>
      <w:r w:rsidR="00EF28B1" w:rsidRPr="00022781">
        <w:t>e are seeking input from anyone</w:t>
      </w:r>
      <w:r w:rsidRPr="00022781">
        <w:t xml:space="preserve"> with an interest in this</w:t>
      </w:r>
      <w:r w:rsidR="00EF28B1" w:rsidRPr="00022781">
        <w:t xml:space="preserve"> area, with a view to developing a new </w:t>
      </w:r>
      <w:r w:rsidR="005A5FF8">
        <w:t>code or legislation</w:t>
      </w:r>
      <w:r w:rsidR="00EF28B1" w:rsidRPr="00022781">
        <w:t xml:space="preserve"> that is fit for purpose and will meet</w:t>
      </w:r>
      <w:r w:rsidR="00EF28B1">
        <w:t xml:space="preserve"> the needs of landlords and retail tenants in today’s market and beyond</w:t>
      </w:r>
      <w:r w:rsidR="00D13C87">
        <w:t>.</w:t>
      </w:r>
    </w:p>
    <w:p w14:paraId="04DAE4E9" w14:textId="2ADBC34A" w:rsidR="00EA58C4" w:rsidRPr="000D78D4" w:rsidRDefault="00E647A0" w:rsidP="000E2B44">
      <w:pPr>
        <w:pStyle w:val="Heading2"/>
      </w:pPr>
      <w:bookmarkStart w:id="4" w:name="_Toc16078230"/>
      <w:bookmarkStart w:id="5" w:name="_Toc16078249"/>
      <w:bookmarkStart w:id="6" w:name="_Toc20841086"/>
      <w:r w:rsidRPr="000D78D4">
        <w:t>Scope of discussion paper</w:t>
      </w:r>
      <w:bookmarkEnd w:id="4"/>
      <w:bookmarkEnd w:id="5"/>
      <w:bookmarkEnd w:id="6"/>
    </w:p>
    <w:p w14:paraId="4F30B235" w14:textId="6C874ECA" w:rsidR="00E647A0" w:rsidRDefault="00FD350A" w:rsidP="00170D54">
      <w:r>
        <w:t>O</w:t>
      </w:r>
      <w:r w:rsidR="00E647A0">
        <w:t xml:space="preserve">ther States and Territories have updated their </w:t>
      </w:r>
      <w:r w:rsidR="00D111A6">
        <w:t xml:space="preserve">retail lease </w:t>
      </w:r>
      <w:r w:rsidR="00E647A0">
        <w:t xml:space="preserve">legislation in response to </w:t>
      </w:r>
      <w:r w:rsidR="001273C9">
        <w:t xml:space="preserve">a major review conducted in 2008 by the Productivity </w:t>
      </w:r>
      <w:r w:rsidR="000F6AEF">
        <w:t>Commission, which</w:t>
      </w:r>
      <w:r w:rsidR="001273C9">
        <w:t xml:space="preserve"> resulted in the Report “Retail Tenancy Leases in Australia”.</w:t>
      </w:r>
    </w:p>
    <w:p w14:paraId="4D6D0AFD" w14:textId="6000EC4E" w:rsidR="001273C9" w:rsidRDefault="001273C9" w:rsidP="00170D54">
      <w:r>
        <w:t>Th</w:t>
      </w:r>
      <w:r w:rsidR="00A77CB1">
        <w:t>is</w:t>
      </w:r>
      <w:r>
        <w:t xml:space="preserve"> R</w:t>
      </w:r>
      <w:r w:rsidR="00BA4133">
        <w:t>eport</w:t>
      </w:r>
      <w:r>
        <w:t xml:space="preserve"> identified a number of areas where </w:t>
      </w:r>
      <w:r w:rsidR="00A77CB1">
        <w:t xml:space="preserve">retail lease </w:t>
      </w:r>
      <w:r>
        <w:t>legislation could be improved.</w:t>
      </w:r>
    </w:p>
    <w:p w14:paraId="5359B56E" w14:textId="433DCC91" w:rsidR="001273C9" w:rsidRPr="00564DEF" w:rsidRDefault="00D111A6" w:rsidP="00170D54">
      <w:r>
        <w:t>R</w:t>
      </w:r>
      <w:r w:rsidR="001273C9">
        <w:t xml:space="preserve">ecommendations </w:t>
      </w:r>
      <w:r>
        <w:t xml:space="preserve">of </w:t>
      </w:r>
      <w:r w:rsidR="00EF61C8">
        <w:t xml:space="preserve">recent </w:t>
      </w:r>
      <w:r w:rsidR="00D57E5D">
        <w:t>r</w:t>
      </w:r>
      <w:r w:rsidR="001273C9">
        <w:t>eview</w:t>
      </w:r>
      <w:r w:rsidR="00DB68FF">
        <w:t>s</w:t>
      </w:r>
      <w:r w:rsidR="001273C9">
        <w:t xml:space="preserve"> are included here as a starting point for discussion, but </w:t>
      </w:r>
      <w:r w:rsidR="00EB025C">
        <w:t>you are</w:t>
      </w:r>
      <w:r w:rsidR="001273C9">
        <w:t xml:space="preserve"> encouraged to identify other areas that should be included.</w:t>
      </w:r>
    </w:p>
    <w:p w14:paraId="5C8C666E" w14:textId="71C9A49D" w:rsidR="00EA58C4" w:rsidRDefault="00EA58C4" w:rsidP="000E2B44">
      <w:pPr>
        <w:pStyle w:val="Heading2"/>
      </w:pPr>
      <w:bookmarkStart w:id="7" w:name="_Toc534273721"/>
      <w:bookmarkStart w:id="8" w:name="_Toc16078231"/>
      <w:bookmarkStart w:id="9" w:name="_Toc16078250"/>
      <w:bookmarkStart w:id="10" w:name="_Toc20841087"/>
      <w:r w:rsidRPr="006F4528">
        <w:t>H</w:t>
      </w:r>
      <w:bookmarkEnd w:id="7"/>
      <w:r w:rsidR="00FA5553">
        <w:t>ow to make a submission</w:t>
      </w:r>
      <w:bookmarkEnd w:id="8"/>
      <w:bookmarkEnd w:id="9"/>
      <w:bookmarkEnd w:id="10"/>
    </w:p>
    <w:p w14:paraId="0A4DAA31" w14:textId="440393C6" w:rsidR="00FA5553" w:rsidRDefault="0069068D" w:rsidP="00170D54">
      <w:r>
        <w:t>Please ensure we</w:t>
      </w:r>
      <w:r w:rsidR="00FA5553" w:rsidRPr="00FA5553">
        <w:t xml:space="preserve"> receive all written submissions on the </w:t>
      </w:r>
      <w:r w:rsidR="00FA5553">
        <w:t>Discussion Paper</w:t>
      </w:r>
      <w:r w:rsidR="00FA5553" w:rsidRPr="00FA5553">
        <w:t xml:space="preserve"> by </w:t>
      </w:r>
      <w:r w:rsidR="001950F1">
        <w:t>close of business</w:t>
      </w:r>
      <w:r w:rsidR="00FA5553" w:rsidRPr="00FA5553">
        <w:t xml:space="preserve"> on </w:t>
      </w:r>
      <w:r w:rsidR="00BA4133">
        <w:t xml:space="preserve">Monday </w:t>
      </w:r>
      <w:r w:rsidR="005C2AEB">
        <w:t>11</w:t>
      </w:r>
      <w:r w:rsidR="005C2AEB" w:rsidRPr="005C2AEB">
        <w:rPr>
          <w:vertAlign w:val="superscript"/>
        </w:rPr>
        <w:t>th</w:t>
      </w:r>
      <w:r w:rsidR="005C2AEB">
        <w:t xml:space="preserve"> Novem</w:t>
      </w:r>
      <w:r w:rsidR="00BA4133" w:rsidRPr="002D4FF0">
        <w:t xml:space="preserve">ber </w:t>
      </w:r>
      <w:r w:rsidR="00322929" w:rsidRPr="002D4FF0">
        <w:t>2019</w:t>
      </w:r>
      <w:r w:rsidR="00FA5553" w:rsidRPr="002D4FF0">
        <w:t>.</w:t>
      </w:r>
    </w:p>
    <w:p w14:paraId="0B2FB864" w14:textId="5580B191" w:rsidR="008C62F9" w:rsidRPr="00FA5553" w:rsidRDefault="008C62F9" w:rsidP="00170D54">
      <w:r>
        <w:t xml:space="preserve">You may choose to address some or all of the questions listed, or </w:t>
      </w:r>
      <w:r w:rsidR="00D06F32">
        <w:t>provide other information based on your own experience of the retail lease market.</w:t>
      </w:r>
    </w:p>
    <w:p w14:paraId="6086BEE3" w14:textId="1793B055" w:rsidR="00FA5553" w:rsidRPr="00FA5553" w:rsidRDefault="00FA5553" w:rsidP="00170D54">
      <w:r w:rsidRPr="00FA5553">
        <w:t>You can make your submission by</w:t>
      </w:r>
      <w:r w:rsidR="00636BB1">
        <w:t>:</w:t>
      </w:r>
    </w:p>
    <w:p w14:paraId="2C56074C" w14:textId="3486DBD5" w:rsidR="00FA5553" w:rsidRPr="00FA5553" w:rsidRDefault="00FA5553" w:rsidP="00F305C6">
      <w:pPr>
        <w:pStyle w:val="ListParagraph"/>
        <w:numPr>
          <w:ilvl w:val="0"/>
          <w:numId w:val="14"/>
        </w:numPr>
        <w:ind w:left="714" w:hanging="357"/>
        <w:contextualSpacing w:val="0"/>
      </w:pPr>
      <w:r w:rsidRPr="00FA5553">
        <w:t xml:space="preserve">Sending it by email to </w:t>
      </w:r>
      <w:hyperlink r:id="rId12" w:history="1">
        <w:r w:rsidR="00F305C6" w:rsidRPr="00866149">
          <w:rPr>
            <w:rStyle w:val="Hyperlink"/>
          </w:rPr>
          <w:t>haveyoursay@justice.tas.gov.au</w:t>
        </w:r>
      </w:hyperlink>
      <w:r w:rsidR="00F305C6">
        <w:t xml:space="preserve"> </w:t>
      </w:r>
      <w:r w:rsidRPr="00FA5553">
        <w:t xml:space="preserve"> or</w:t>
      </w:r>
    </w:p>
    <w:p w14:paraId="7B62B99C" w14:textId="198E126F" w:rsidR="00FA5553" w:rsidRPr="00FA5553" w:rsidRDefault="00FA5553" w:rsidP="00F305C6">
      <w:pPr>
        <w:pStyle w:val="ListParagraph"/>
        <w:numPr>
          <w:ilvl w:val="0"/>
          <w:numId w:val="14"/>
        </w:numPr>
        <w:spacing w:before="120" w:line="240" w:lineRule="auto"/>
        <w:ind w:left="714" w:hanging="357"/>
        <w:contextualSpacing w:val="0"/>
      </w:pPr>
      <w:r w:rsidRPr="00FA5553">
        <w:t>mail your submission to</w:t>
      </w:r>
      <w:r w:rsidR="008C62F9">
        <w:t>:</w:t>
      </w:r>
    </w:p>
    <w:p w14:paraId="351B7F84" w14:textId="7DB6F6FC" w:rsidR="008C62F9" w:rsidRDefault="008C62F9" w:rsidP="00170D54">
      <w:pPr>
        <w:contextualSpacing/>
      </w:pPr>
      <w:r>
        <w:t>Retail Leases Review</w:t>
      </w:r>
    </w:p>
    <w:p w14:paraId="15778F0F" w14:textId="4BCDE6C9" w:rsidR="00FA5553" w:rsidRDefault="005161E3" w:rsidP="00170D54">
      <w:pPr>
        <w:contextualSpacing/>
      </w:pPr>
      <w:r>
        <w:t>Consumer, Building and Occupational Services</w:t>
      </w:r>
    </w:p>
    <w:p w14:paraId="5A40D380" w14:textId="30E57F2B" w:rsidR="00F305C6" w:rsidRDefault="00F305C6" w:rsidP="00170D54">
      <w:pPr>
        <w:contextualSpacing/>
      </w:pPr>
      <w:r>
        <w:t>PO Box 54</w:t>
      </w:r>
    </w:p>
    <w:p w14:paraId="4ECA3D71" w14:textId="60721F06" w:rsidR="005161E3" w:rsidRPr="00FA5553" w:rsidRDefault="00F305C6" w:rsidP="00170D54">
      <w:pPr>
        <w:contextualSpacing/>
      </w:pPr>
      <w:r>
        <w:t xml:space="preserve">ROSNY PARK   TAS  </w:t>
      </w:r>
      <w:r w:rsidR="005161E3">
        <w:t>7018</w:t>
      </w:r>
    </w:p>
    <w:p w14:paraId="26B7EFD1" w14:textId="77777777" w:rsidR="00FA5553" w:rsidRPr="00FA5553" w:rsidRDefault="00FA5553" w:rsidP="000E2B44">
      <w:pPr>
        <w:pStyle w:val="Heading2"/>
      </w:pPr>
      <w:bookmarkStart w:id="11" w:name="_Toc16078232"/>
      <w:bookmarkStart w:id="12" w:name="_Toc16078251"/>
      <w:bookmarkStart w:id="13" w:name="_Toc20841088"/>
      <w:r w:rsidRPr="00FA5553">
        <w:t>Publishing submissions</w:t>
      </w:r>
      <w:bookmarkEnd w:id="11"/>
      <w:bookmarkEnd w:id="12"/>
      <w:bookmarkEnd w:id="13"/>
    </w:p>
    <w:p w14:paraId="7977F5B2" w14:textId="7C98B7E7" w:rsidR="00FA5553" w:rsidRDefault="00EB025C" w:rsidP="00170D54">
      <w:r>
        <w:t>S</w:t>
      </w:r>
      <w:r w:rsidR="00FA5553" w:rsidRPr="00FA5553">
        <w:t xml:space="preserve">ubmissions will be treated as public information and will be published on our website at </w:t>
      </w:r>
      <w:hyperlink r:id="rId13" w:history="1">
        <w:r w:rsidR="001950F1" w:rsidRPr="0090500D">
          <w:rPr>
            <w:rStyle w:val="Hyperlink"/>
          </w:rPr>
          <w:t>https://www.justice.tas.gov.au/community-consultation</w:t>
        </w:r>
      </w:hyperlink>
      <w:r w:rsidR="001950F1">
        <w:t xml:space="preserve"> </w:t>
      </w:r>
      <w:r>
        <w:t xml:space="preserve">unless you </w:t>
      </w:r>
      <w:r w:rsidR="008C62F9">
        <w:t>ask us not to publish</w:t>
      </w:r>
      <w:r w:rsidR="00FA5553" w:rsidRPr="00FA5553">
        <w:t>.</w:t>
      </w:r>
    </w:p>
    <w:p w14:paraId="536AE73A" w14:textId="36BE0865" w:rsidR="00EB025C" w:rsidRPr="00EB025C" w:rsidRDefault="00EB025C" w:rsidP="00170D54">
      <w:r w:rsidRPr="00EB025C">
        <w:t>We will include your name or organisation but no other personal information when publishing.</w:t>
      </w:r>
    </w:p>
    <w:p w14:paraId="0A19A687" w14:textId="3752426D" w:rsidR="00FA5553" w:rsidRPr="00FA5553" w:rsidRDefault="00FA5553" w:rsidP="00170D54">
      <w:r w:rsidRPr="00FA5553">
        <w:t xml:space="preserve">Submissions will be published once </w:t>
      </w:r>
      <w:r w:rsidR="00322929">
        <w:t>all</w:t>
      </w:r>
      <w:r w:rsidRPr="00FA5553">
        <w:t xml:space="preserve"> submissions ha</w:t>
      </w:r>
      <w:r w:rsidR="00322929">
        <w:t>ve been considered</w:t>
      </w:r>
      <w:r w:rsidR="002D4FF0">
        <w:t xml:space="preserve"> and the Government forms a policy position on preferred reform measures</w:t>
      </w:r>
      <w:r w:rsidRPr="00FA5553">
        <w:t>.</w:t>
      </w:r>
    </w:p>
    <w:p w14:paraId="110B4CC4" w14:textId="10452656" w:rsidR="00FA5553" w:rsidRDefault="00FA5553" w:rsidP="00170D54">
      <w:r w:rsidRPr="00FA5553">
        <w:t xml:space="preserve">For further information, please contact: </w:t>
      </w:r>
      <w:hyperlink r:id="rId14" w:history="1">
        <w:r w:rsidR="001950F1" w:rsidRPr="0090500D">
          <w:rPr>
            <w:rStyle w:val="Hyperlink"/>
          </w:rPr>
          <w:t>cbos.info@justice.tas.gov.au</w:t>
        </w:r>
      </w:hyperlink>
      <w:r w:rsidR="001950F1">
        <w:t xml:space="preserve"> </w:t>
      </w:r>
      <w:r w:rsidRPr="00FA5553">
        <w:t xml:space="preserve">or read the </w:t>
      </w:r>
      <w:hyperlink r:id="rId15" w:history="1">
        <w:r w:rsidRPr="001950F1">
          <w:rPr>
            <w:rStyle w:val="Hyperlink"/>
          </w:rPr>
          <w:t>Tasmanian Government Public Submissions Policy</w:t>
        </w:r>
      </w:hyperlink>
      <w:r w:rsidRPr="00FA5553">
        <w:t>.</w:t>
      </w:r>
    </w:p>
    <w:p w14:paraId="3D8CA4BD" w14:textId="4822F660" w:rsidR="002749FA" w:rsidRDefault="002749FA" w:rsidP="00B02FCB">
      <w:pPr>
        <w:pStyle w:val="Heading1"/>
      </w:pPr>
      <w:bookmarkStart w:id="14" w:name="_Toc16078233"/>
      <w:bookmarkStart w:id="15" w:name="_Toc16078252"/>
      <w:bookmarkStart w:id="16" w:name="_Toc20841089"/>
      <w:r>
        <w:lastRenderedPageBreak/>
        <w:t>Key areas for discussion</w:t>
      </w:r>
      <w:bookmarkEnd w:id="14"/>
      <w:bookmarkEnd w:id="15"/>
      <w:bookmarkEnd w:id="16"/>
    </w:p>
    <w:p w14:paraId="00529938" w14:textId="56C0CACB" w:rsidR="002749FA" w:rsidRPr="0006176C" w:rsidRDefault="007827E1" w:rsidP="00B02FCB">
      <w:pPr>
        <w:keepNext/>
      </w:pPr>
      <w:r w:rsidRPr="0006176C">
        <w:t>We’ve identified a number of</w:t>
      </w:r>
      <w:r w:rsidR="002749FA" w:rsidRPr="0006176C">
        <w:t xml:space="preserve"> areas relat</w:t>
      </w:r>
      <w:r w:rsidR="00EB025C">
        <w:t>ing</w:t>
      </w:r>
      <w:r w:rsidR="002749FA" w:rsidRPr="0006176C">
        <w:t xml:space="preserve"> to retail leases where we </w:t>
      </w:r>
      <w:r w:rsidRPr="0006176C">
        <w:t>would like</w:t>
      </w:r>
      <w:r w:rsidR="002749FA" w:rsidRPr="0006176C">
        <w:t xml:space="preserve"> your </w:t>
      </w:r>
      <w:r w:rsidR="00B02FCB">
        <w:t>input:</w:t>
      </w:r>
    </w:p>
    <w:p w14:paraId="122844DB" w14:textId="7C182344" w:rsidR="00981BC6" w:rsidRDefault="00981BC6" w:rsidP="00F540E5">
      <w:pPr>
        <w:pStyle w:val="Bullets"/>
        <w:ind w:left="714" w:hanging="357"/>
      </w:pPr>
      <w:r>
        <w:t xml:space="preserve">There are inconsistencies in the types of retail businesses </w:t>
      </w:r>
      <w:r w:rsidR="008C7A45">
        <w:t xml:space="preserve">to which the </w:t>
      </w:r>
      <w:r w:rsidR="00F141D5" w:rsidRPr="00F141D5">
        <w:t>Fair Trading (Code of Practice for Retail Tenancies) Regulations 1998</w:t>
      </w:r>
      <w:r w:rsidR="00F141D5">
        <w:t xml:space="preserve"> (“the </w:t>
      </w:r>
      <w:r w:rsidR="008C7A45">
        <w:t>Code</w:t>
      </w:r>
      <w:r w:rsidR="00F141D5">
        <w:t>”)</w:t>
      </w:r>
      <w:r w:rsidR="008C7A45">
        <w:t xml:space="preserve"> applies</w:t>
      </w:r>
      <w:r w:rsidR="00636BB1">
        <w:t>;</w:t>
      </w:r>
    </w:p>
    <w:p w14:paraId="2DE6495F" w14:textId="77777777" w:rsidR="00981BC6" w:rsidRDefault="00981BC6" w:rsidP="00F540E5">
      <w:pPr>
        <w:pStyle w:val="Bullets"/>
        <w:ind w:left="714" w:hanging="357"/>
      </w:pPr>
      <w:r>
        <w:t xml:space="preserve">Rent review mechanisms are unwieldly and may hamper the parties’ negotiations. For example: </w:t>
      </w:r>
    </w:p>
    <w:p w14:paraId="769983BF" w14:textId="0705AD4F" w:rsidR="00981BC6" w:rsidRDefault="00981BC6" w:rsidP="00C00B32">
      <w:pPr>
        <w:pStyle w:val="Bullets"/>
        <w:numPr>
          <w:ilvl w:val="0"/>
          <w:numId w:val="31"/>
        </w:numPr>
        <w:ind w:left="1134" w:hanging="425"/>
      </w:pPr>
      <w:r>
        <w:t>Tenants may prevent a rent review if they refuse to accept a valuer’s decision</w:t>
      </w:r>
      <w:r w:rsidR="00636BB1">
        <w:t>;</w:t>
      </w:r>
    </w:p>
    <w:p w14:paraId="7A60261A" w14:textId="0DB7F78F" w:rsidR="00981BC6" w:rsidRDefault="00981BC6" w:rsidP="00C00B32">
      <w:pPr>
        <w:pStyle w:val="Bullets"/>
        <w:numPr>
          <w:ilvl w:val="0"/>
          <w:numId w:val="31"/>
        </w:numPr>
        <w:ind w:left="1134" w:hanging="425"/>
      </w:pPr>
      <w:r>
        <w:t>Landlords may inadvertently lose the ability to review rents if they fail to provide rent estimates to tenants (a clause that is unique to Tasmania)</w:t>
      </w:r>
      <w:r w:rsidR="00636BB1">
        <w:t>;</w:t>
      </w:r>
    </w:p>
    <w:p w14:paraId="55A2AD0E" w14:textId="526598C4" w:rsidR="00981BC6" w:rsidRDefault="00981BC6" w:rsidP="00F540E5">
      <w:pPr>
        <w:pStyle w:val="Bullets"/>
        <w:ind w:left="714" w:hanging="357"/>
      </w:pPr>
      <w:r>
        <w:t>No “Monitoring Committee” has been established to provide stakeholder feedback on operation of the Code</w:t>
      </w:r>
      <w:r w:rsidR="000E2B44">
        <w:t>, even though this is required under the current Code</w:t>
      </w:r>
      <w:r w:rsidR="00636BB1">
        <w:t>;</w:t>
      </w:r>
    </w:p>
    <w:p w14:paraId="5CD5C46E" w14:textId="5C6EDA8A" w:rsidR="00981BC6" w:rsidRDefault="00821CF7" w:rsidP="00F540E5">
      <w:pPr>
        <w:pStyle w:val="Bullets"/>
        <w:ind w:left="714" w:hanging="357"/>
      </w:pPr>
      <w:r>
        <w:t>There is a l</w:t>
      </w:r>
      <w:r w:rsidR="00981BC6">
        <w:t>ack of alternative dispute resolution processes, apart from the Director reviewing simple enquiries and giving non-binding advice</w:t>
      </w:r>
      <w:r w:rsidR="00636BB1">
        <w:t>;</w:t>
      </w:r>
    </w:p>
    <w:p w14:paraId="0FDDA1B5" w14:textId="18B71068" w:rsidR="00981BC6" w:rsidRDefault="00821CF7" w:rsidP="00F540E5">
      <w:pPr>
        <w:pStyle w:val="Bullets"/>
        <w:ind w:left="714" w:hanging="357"/>
      </w:pPr>
      <w:r>
        <w:t>T</w:t>
      </w:r>
      <w:r w:rsidR="00981BC6">
        <w:t xml:space="preserve">he Director </w:t>
      </w:r>
      <w:r>
        <w:t xml:space="preserve">has no powers </w:t>
      </w:r>
      <w:r w:rsidR="00981BC6">
        <w:t>to make enforceable undertakings for breaches of the Code</w:t>
      </w:r>
      <w:r w:rsidR="00636BB1">
        <w:t>;</w:t>
      </w:r>
      <w:r w:rsidR="00981BC6">
        <w:t xml:space="preserve"> </w:t>
      </w:r>
    </w:p>
    <w:p w14:paraId="449145E4" w14:textId="1831EAAA" w:rsidR="00981BC6" w:rsidRDefault="00821CF7" w:rsidP="00F540E5">
      <w:pPr>
        <w:pStyle w:val="Bullets"/>
        <w:ind w:left="714" w:hanging="357"/>
      </w:pPr>
      <w:r>
        <w:t>There is n</w:t>
      </w:r>
      <w:r w:rsidR="00981BC6">
        <w:t>o penalty for failure to provide disclosure statements</w:t>
      </w:r>
      <w:r w:rsidR="00636BB1">
        <w:t>;</w:t>
      </w:r>
    </w:p>
    <w:p w14:paraId="14330AF5" w14:textId="0B173B0B" w:rsidR="00981BC6" w:rsidRDefault="0006176C" w:rsidP="00F540E5">
      <w:pPr>
        <w:pStyle w:val="Bullets"/>
        <w:ind w:left="714" w:hanging="357"/>
      </w:pPr>
      <w:r>
        <w:t>Landlords can’t request s</w:t>
      </w:r>
      <w:r w:rsidR="00981BC6">
        <w:t>ecurity deposits greater tha</w:t>
      </w:r>
      <w:r>
        <w:t>n three months’ rent equivalent</w:t>
      </w:r>
      <w:r w:rsidR="00636BB1">
        <w:t>;</w:t>
      </w:r>
    </w:p>
    <w:p w14:paraId="0538054A" w14:textId="70EF1992" w:rsidR="00981BC6" w:rsidRDefault="0006176C" w:rsidP="00F540E5">
      <w:pPr>
        <w:pStyle w:val="Bullets"/>
        <w:ind w:left="714" w:hanging="357"/>
      </w:pPr>
      <w:r>
        <w:t>T</w:t>
      </w:r>
      <w:r w:rsidR="00981BC6">
        <w:t xml:space="preserve">he </w:t>
      </w:r>
      <w:r w:rsidR="00981BC6" w:rsidRPr="00F540E5">
        <w:t>Fair Trading Act 1990</w:t>
      </w:r>
      <w:r w:rsidR="00981BC6" w:rsidRPr="004E0A16">
        <w:t xml:space="preserve"> </w:t>
      </w:r>
      <w:r>
        <w:t xml:space="preserve">under which the Code </w:t>
      </w:r>
      <w:r w:rsidR="00981BC6">
        <w:t xml:space="preserve">was originally made, </w:t>
      </w:r>
      <w:r>
        <w:t>has since been</w:t>
      </w:r>
      <w:r w:rsidR="00981BC6" w:rsidRPr="004E0A16">
        <w:t xml:space="preserve"> </w:t>
      </w:r>
      <w:r w:rsidR="00981BC6">
        <w:t>repealed</w:t>
      </w:r>
      <w:r w:rsidR="000E2B44">
        <w:t xml:space="preserve">, so we need to ensure the </w:t>
      </w:r>
      <w:r w:rsidR="008C62F9">
        <w:t xml:space="preserve">new </w:t>
      </w:r>
      <w:r w:rsidR="000E2B44">
        <w:t>legislation either stands alone, or refers to another Act</w:t>
      </w:r>
      <w:r w:rsidR="00981BC6" w:rsidRPr="004E0A16">
        <w:t>.</w:t>
      </w:r>
      <w:r w:rsidR="00981BC6">
        <w:t xml:space="preserve">  </w:t>
      </w:r>
    </w:p>
    <w:p w14:paraId="4A957ED2" w14:textId="48F5F938" w:rsidR="002749FA" w:rsidRDefault="002749FA" w:rsidP="009932E4">
      <w:pPr>
        <w:spacing w:before="120"/>
      </w:pPr>
      <w:r>
        <w:t xml:space="preserve">We encourage you to include other topics based on your experience of </w:t>
      </w:r>
      <w:r w:rsidR="008C62F9">
        <w:t>retail lease</w:t>
      </w:r>
      <w:r>
        <w:t xml:space="preserve"> arrangements.</w:t>
      </w:r>
    </w:p>
    <w:p w14:paraId="200B0A7B" w14:textId="33F83CDF" w:rsidR="002749FA" w:rsidRDefault="002749FA" w:rsidP="000E2B44">
      <w:pPr>
        <w:pStyle w:val="Heading2"/>
      </w:pPr>
      <w:bookmarkStart w:id="17" w:name="_Toc16078234"/>
      <w:bookmarkStart w:id="18" w:name="_Toc16078253"/>
      <w:bookmarkStart w:id="19" w:name="_Toc20841090"/>
      <w:r>
        <w:t>How do we define a “retail premises”?</w:t>
      </w:r>
      <w:bookmarkEnd w:id="17"/>
      <w:bookmarkEnd w:id="18"/>
      <w:bookmarkEnd w:id="19"/>
    </w:p>
    <w:p w14:paraId="2F59220C" w14:textId="4EC4C219" w:rsidR="000E2B44" w:rsidRDefault="000E2B44" w:rsidP="00170D54">
      <w:r>
        <w:t>The definition of “retail premises” differs between jurisdictions, and some of the types of retail premises listed in the Code no longer exist, whereas others have been introduced, so this is a good opportunity to ensure the definition we use is appropriate for the current and future market.</w:t>
      </w:r>
    </w:p>
    <w:p w14:paraId="1C98C8A5" w14:textId="2CA73E0C" w:rsidR="00416F26" w:rsidRPr="00C9322B" w:rsidRDefault="00FA7A33" w:rsidP="00170D54">
      <w:r w:rsidRPr="00C9322B">
        <w:t xml:space="preserve">Are there any types of retail business </w:t>
      </w:r>
      <w:r w:rsidRPr="00BB6B08">
        <w:t>activities</w:t>
      </w:r>
      <w:r w:rsidRPr="00C9322B">
        <w:t xml:space="preserve"> </w:t>
      </w:r>
      <w:r>
        <w:t xml:space="preserve">which </w:t>
      </w:r>
      <w:r w:rsidRPr="00C9322B">
        <w:t xml:space="preserve">should be </w:t>
      </w:r>
      <w:r w:rsidRPr="00C9322B">
        <w:rPr>
          <w:b/>
        </w:rPr>
        <w:t>excluded</w:t>
      </w:r>
      <w:r w:rsidRPr="00C9322B">
        <w:t xml:space="preserve"> from the Act?  </w:t>
      </w:r>
      <w:r w:rsidR="00416F26">
        <w:t>For example</w:t>
      </w:r>
      <w:r w:rsidR="00B06C80">
        <w:t>:</w:t>
      </w:r>
    </w:p>
    <w:p w14:paraId="516D9B98" w14:textId="35C9486B" w:rsidR="00366517" w:rsidRPr="003B42F0" w:rsidRDefault="00366517" w:rsidP="00F540E5">
      <w:pPr>
        <w:pStyle w:val="Bullets"/>
        <w:ind w:left="714" w:hanging="357"/>
      </w:pPr>
      <w:r w:rsidRPr="003B42F0">
        <w:t>“retail provision of services” such as a tax agent, conveyancer, lawyer?</w:t>
      </w:r>
    </w:p>
    <w:p w14:paraId="419AB327" w14:textId="33D2048E" w:rsidR="00366517" w:rsidRPr="00C9322B" w:rsidRDefault="00366517" w:rsidP="00F540E5">
      <w:pPr>
        <w:pStyle w:val="Bullets"/>
        <w:ind w:left="714" w:hanging="357"/>
      </w:pPr>
      <w:r w:rsidRPr="00C9322B">
        <w:t>retail business</w:t>
      </w:r>
      <w:r w:rsidR="00416F26">
        <w:t>es</w:t>
      </w:r>
      <w:r w:rsidRPr="00C9322B">
        <w:t xml:space="preserve"> within other premises, such as in a sports arena, cinema, bowling alley? </w:t>
      </w:r>
    </w:p>
    <w:p w14:paraId="66D7C7FE" w14:textId="78F2FFC8" w:rsidR="00366517" w:rsidRPr="00C9322B" w:rsidRDefault="00366517" w:rsidP="009932E4">
      <w:pPr>
        <w:pStyle w:val="Bullets"/>
        <w:ind w:left="714" w:hanging="357"/>
      </w:pPr>
      <w:r w:rsidRPr="00C9322B">
        <w:t>Should temporary, but regularly held market stalls be included? (Salamanca Market type arrangements)</w:t>
      </w:r>
      <w:r w:rsidR="00441E27">
        <w:t>;</w:t>
      </w:r>
    </w:p>
    <w:p w14:paraId="7F203988" w14:textId="0F5F2D61" w:rsidR="00366517" w:rsidRDefault="00366517" w:rsidP="009932E4">
      <w:pPr>
        <w:pStyle w:val="Bullets"/>
        <w:ind w:left="714" w:hanging="357"/>
      </w:pPr>
      <w:r w:rsidRPr="00C9322B">
        <w:t>Should any residential parts within commercial buildings be excluded</w:t>
      </w:r>
      <w:r w:rsidR="008C62F9" w:rsidRPr="008C62F9">
        <w:t xml:space="preserve"> </w:t>
      </w:r>
      <w:r w:rsidR="008C62F9" w:rsidRPr="00C9322B">
        <w:t>if they are not directly used for a retail purpose</w:t>
      </w:r>
      <w:r w:rsidRPr="00C9322B">
        <w:t>?</w:t>
      </w:r>
    </w:p>
    <w:p w14:paraId="3D34D7BE" w14:textId="5E1BDA02" w:rsidR="00416F26" w:rsidRDefault="00416F26" w:rsidP="009E3642">
      <w:pPr>
        <w:spacing w:before="120"/>
      </w:pPr>
      <w:r>
        <w:t>The current Code only applies to retail business</w:t>
      </w:r>
      <w:r w:rsidR="00AB70BC">
        <w:t>es</w:t>
      </w:r>
      <w:r>
        <w:t xml:space="preserve"> of less than 1000m</w:t>
      </w:r>
      <w:r w:rsidRPr="004B7EB0">
        <w:rPr>
          <w:vertAlign w:val="superscript"/>
        </w:rPr>
        <w:t>2</w:t>
      </w:r>
      <w:r>
        <w:t xml:space="preserve"> to capture smaller retail outlets. Leases for larger retailers such as Kmart, Coles and Woolworths are managed under </w:t>
      </w:r>
      <w:r w:rsidR="000E2B44">
        <w:t>commercial contract</w:t>
      </w:r>
      <w:r w:rsidR="009932E4">
        <w:t>s</w:t>
      </w:r>
      <w:r>
        <w:t>.</w:t>
      </w:r>
      <w:r w:rsidR="00486141">
        <w:t xml:space="preserve"> </w:t>
      </w:r>
    </w:p>
    <w:p w14:paraId="4BA02E64" w14:textId="30C8EE16" w:rsidR="00486141" w:rsidRPr="000E2B44" w:rsidRDefault="00486141" w:rsidP="00B02FCB">
      <w:pPr>
        <w:pStyle w:val="question"/>
      </w:pPr>
      <w:r w:rsidRPr="000E2B44">
        <w:t xml:space="preserve">Question </w:t>
      </w:r>
      <w:fldSimple w:instr=" SEQ Q \* MERGEFORMAT ">
        <w:r w:rsidR="00CB486F">
          <w:rPr>
            <w:noProof/>
          </w:rPr>
          <w:t>1</w:t>
        </w:r>
      </w:fldSimple>
      <w:r w:rsidRPr="000E2B44">
        <w:t xml:space="preserve">: </w:t>
      </w:r>
      <w:r w:rsidR="00F226A7" w:rsidRPr="000E2B44">
        <w:tab/>
      </w:r>
      <w:r w:rsidRPr="000E2B44">
        <w:t>Which retail premises should the new Act apply to?</w:t>
      </w:r>
      <w:r w:rsidR="000A78CA">
        <w:t xml:space="preserve"> Are there any types of retail premises that should be excluded?</w:t>
      </w:r>
    </w:p>
    <w:p w14:paraId="4518465A" w14:textId="6185E8AC" w:rsidR="002749FA" w:rsidRPr="000E2B44" w:rsidRDefault="002749FA" w:rsidP="000E2B44">
      <w:pPr>
        <w:pStyle w:val="Heading2"/>
      </w:pPr>
      <w:bookmarkStart w:id="20" w:name="_Toc16078235"/>
      <w:bookmarkStart w:id="21" w:name="_Toc16078254"/>
      <w:bookmarkStart w:id="22" w:name="_Toc20841091"/>
      <w:r w:rsidRPr="000E2B44">
        <w:lastRenderedPageBreak/>
        <w:t>Entering a lease</w:t>
      </w:r>
      <w:bookmarkEnd w:id="20"/>
      <w:bookmarkEnd w:id="21"/>
      <w:bookmarkEnd w:id="22"/>
    </w:p>
    <w:p w14:paraId="693C010C" w14:textId="38BCAC51" w:rsidR="00525079" w:rsidRPr="00525079" w:rsidRDefault="00AD44F0" w:rsidP="000E2B44">
      <w:pPr>
        <w:pStyle w:val="Heading3"/>
      </w:pPr>
      <w:bookmarkStart w:id="23" w:name="_Toc16078236"/>
      <w:bookmarkStart w:id="24" w:name="_Toc16078255"/>
      <w:r>
        <w:t>What documents should be supplied when entering a lease?</w:t>
      </w:r>
      <w:bookmarkEnd w:id="23"/>
      <w:bookmarkEnd w:id="24"/>
    </w:p>
    <w:p w14:paraId="6D0B962D" w14:textId="58A7FCEE" w:rsidR="003B42F0" w:rsidRDefault="00AD44F0" w:rsidP="00170D54">
      <w:r>
        <w:t xml:space="preserve">In other states, a copy of the proposed lease is provided as soon as negotiations begin. </w:t>
      </w:r>
    </w:p>
    <w:p w14:paraId="1332F9B6" w14:textId="5327A101" w:rsidR="00AD44F0" w:rsidRDefault="00AD44F0" w:rsidP="00A779BF">
      <w:pPr>
        <w:pStyle w:val="Bullets"/>
        <w:numPr>
          <w:ilvl w:val="0"/>
          <w:numId w:val="0"/>
        </w:numPr>
      </w:pPr>
      <w:r>
        <w:t>A disclosure statement</w:t>
      </w:r>
      <w:r w:rsidR="009E3642">
        <w:t>,</w:t>
      </w:r>
      <w:r>
        <w:t xml:space="preserve"> which includes details such as expected costs and expenses for tenants, </w:t>
      </w:r>
      <w:r w:rsidR="00EB025C">
        <w:t xml:space="preserve">and </w:t>
      </w:r>
      <w:r>
        <w:t>how the rent is calculated and reviewed</w:t>
      </w:r>
      <w:r w:rsidR="00EB025C">
        <w:t>,</w:t>
      </w:r>
      <w:r>
        <w:t xml:space="preserve"> is also a common </w:t>
      </w:r>
      <w:r w:rsidR="0094648F">
        <w:t>requirement in other States and Territories</w:t>
      </w:r>
      <w:r>
        <w:t>.</w:t>
      </w:r>
    </w:p>
    <w:p w14:paraId="5F130FB9" w14:textId="02FF8C04" w:rsidR="00012096" w:rsidRDefault="00012096" w:rsidP="009E3642">
      <w:pPr>
        <w:pStyle w:val="Bullets"/>
        <w:ind w:left="714" w:hanging="357"/>
      </w:pPr>
      <w:r>
        <w:t>The items to be disclosed may be determined by the Director.</w:t>
      </w:r>
      <w:r w:rsidR="000E2B44">
        <w:t xml:space="preserve"> This provides flexibility to react to changing priorities without needing to amend the legislation (a process that can take up to 18 months).</w:t>
      </w:r>
    </w:p>
    <w:p w14:paraId="4AE8C8F1" w14:textId="1FBA578F" w:rsidR="00AD44F0" w:rsidRDefault="00AD44F0" w:rsidP="009E3642">
      <w:pPr>
        <w:pStyle w:val="Bullets"/>
        <w:ind w:left="714" w:hanging="357"/>
      </w:pPr>
      <w:r>
        <w:t>A plain English Retail Leases Guide or Fact Sheet for tenants may assist</w:t>
      </w:r>
      <w:r w:rsidR="00514D64">
        <w:t xml:space="preserve"> prospective tenants to understand their rights and obligations</w:t>
      </w:r>
      <w:r>
        <w:t>.</w:t>
      </w:r>
    </w:p>
    <w:p w14:paraId="4ABDD201" w14:textId="2494A2DE" w:rsidR="00D53F44" w:rsidRDefault="00D53F44" w:rsidP="00A779BF">
      <w:pPr>
        <w:pStyle w:val="Bullets"/>
        <w:numPr>
          <w:ilvl w:val="0"/>
          <w:numId w:val="0"/>
        </w:numPr>
      </w:pPr>
      <w:r>
        <w:t xml:space="preserve">Documents could be mandatory, such that a failure to supply them in the proscribed timeframe may allow the tenant to </w:t>
      </w:r>
      <w:r w:rsidR="00FA7AFB">
        <w:t>terminate</w:t>
      </w:r>
      <w:r>
        <w:t xml:space="preserve"> the lease without financial penalty.</w:t>
      </w:r>
    </w:p>
    <w:p w14:paraId="15B23FD7" w14:textId="5AE33C2A" w:rsidR="00AD44F0" w:rsidRPr="00486141" w:rsidRDefault="00486141" w:rsidP="00B02FCB">
      <w:pPr>
        <w:pStyle w:val="question"/>
      </w:pPr>
      <w:r w:rsidRPr="00486141">
        <w:t xml:space="preserve">Question </w:t>
      </w:r>
      <w:fldSimple w:instr=" SEQ Q \* MERGEFORMAT ">
        <w:r w:rsidR="00CB486F">
          <w:rPr>
            <w:noProof/>
          </w:rPr>
          <w:t>2</w:t>
        </w:r>
      </w:fldSimple>
      <w:r w:rsidRPr="00486141">
        <w:t xml:space="preserve">: </w:t>
      </w:r>
      <w:r w:rsidR="00F226A7">
        <w:tab/>
      </w:r>
      <w:r w:rsidR="0094648F">
        <w:t>Wh</w:t>
      </w:r>
      <w:r w:rsidR="00FC268D">
        <w:t>ich</w:t>
      </w:r>
      <w:r w:rsidR="00AD44F0" w:rsidRPr="00486141">
        <w:t xml:space="preserve"> documents </w:t>
      </w:r>
      <w:r w:rsidR="0094648F">
        <w:t>should be supplied, and should they be mandatory</w:t>
      </w:r>
      <w:r w:rsidR="00AD44F0" w:rsidRPr="00486141">
        <w:t>?</w:t>
      </w:r>
      <w:r w:rsidR="00012096">
        <w:t xml:space="preserve"> At what stage in the negotiations should these documents be provided?</w:t>
      </w:r>
    </w:p>
    <w:p w14:paraId="47E22A0F" w14:textId="4BB35511" w:rsidR="002749FA" w:rsidRDefault="002749FA" w:rsidP="000E2B44">
      <w:pPr>
        <w:pStyle w:val="Heading3"/>
      </w:pPr>
      <w:bookmarkStart w:id="25" w:name="_Toc16078237"/>
      <w:bookmarkStart w:id="26" w:name="_Toc16078256"/>
      <w:r>
        <w:t>What should a lease contain?</w:t>
      </w:r>
      <w:bookmarkEnd w:id="25"/>
      <w:bookmarkEnd w:id="26"/>
    </w:p>
    <w:p w14:paraId="39D35D58" w14:textId="7B2588B7" w:rsidR="000F3F94" w:rsidRDefault="000F3F94" w:rsidP="00F540E5">
      <w:r>
        <w:t>Best practice suggests that leases should be written in Plain English and contain a cooling off period.</w:t>
      </w:r>
    </w:p>
    <w:p w14:paraId="69FACE9D" w14:textId="1DB8AC2F" w:rsidR="000F3F94" w:rsidRDefault="00404F1A" w:rsidP="008E18E2">
      <w:pPr>
        <w:pStyle w:val="Bullets"/>
        <w:ind w:left="714" w:hanging="357"/>
      </w:pPr>
      <w:r>
        <w:t>The lease should be signed by both parties and any alterations initialled by both parties.</w:t>
      </w:r>
    </w:p>
    <w:p w14:paraId="50B247BD" w14:textId="13A5B96E" w:rsidR="00012096" w:rsidRDefault="00012096" w:rsidP="008E18E2">
      <w:pPr>
        <w:pStyle w:val="Bullets"/>
        <w:ind w:left="714" w:hanging="357"/>
      </w:pPr>
      <w:r>
        <w:t>NSW has a mandatory lease contract that must be used, but most other states allow for a variety of contract formats with mandatory clauses that the Director determines.</w:t>
      </w:r>
    </w:p>
    <w:p w14:paraId="57C77837" w14:textId="6C7C0143" w:rsidR="00AE211F" w:rsidRDefault="00AE211F" w:rsidP="008E18E2">
      <w:pPr>
        <w:pStyle w:val="Bullets"/>
        <w:ind w:left="714" w:hanging="357"/>
      </w:pPr>
      <w:r>
        <w:t>Many contracts have a “cooling off” period. Is this appropriate for a Retail Lease, and if so, what would be a reasonable period for a prospective tenant to walk away without financial penalty? How should this be managed?</w:t>
      </w:r>
      <w:r w:rsidR="009C6B91">
        <w:t xml:space="preserve"> Should the landlord be able to recoup any reasonably incurred costs?</w:t>
      </w:r>
    </w:p>
    <w:p w14:paraId="0DE2263A" w14:textId="75CEE302" w:rsidR="008C62F9" w:rsidRDefault="008C62F9" w:rsidP="008E18E2">
      <w:pPr>
        <w:pStyle w:val="Bullets"/>
        <w:ind w:left="714" w:hanging="357"/>
      </w:pPr>
      <w:r>
        <w:t>Currently the Code only applies to leases of five or more years. Does this provide sufficient protection for small retailers? Should leases made for a shorter period also be covered by the legislation?</w:t>
      </w:r>
    </w:p>
    <w:p w14:paraId="7216B0ED" w14:textId="2EBD00C9" w:rsidR="00012096" w:rsidRPr="00AE211F" w:rsidRDefault="00AE211F" w:rsidP="00B02FCB">
      <w:pPr>
        <w:pStyle w:val="question"/>
      </w:pPr>
      <w:r>
        <w:t xml:space="preserve">Question </w:t>
      </w:r>
      <w:fldSimple w:instr=" SEQ Q \* MERGEFORMAT ">
        <w:r w:rsidR="00CB486F">
          <w:rPr>
            <w:noProof/>
          </w:rPr>
          <w:t>3</w:t>
        </w:r>
      </w:fldSimple>
      <w:r>
        <w:t xml:space="preserve">: </w:t>
      </w:r>
      <w:r w:rsidR="00F226A7">
        <w:tab/>
      </w:r>
      <w:r>
        <w:t>What should a lease contain?</w:t>
      </w:r>
    </w:p>
    <w:p w14:paraId="6508E711" w14:textId="1591A683" w:rsidR="008C62F9" w:rsidRPr="000E2B44" w:rsidRDefault="008C62F9" w:rsidP="008C62F9">
      <w:pPr>
        <w:pStyle w:val="question"/>
      </w:pPr>
      <w:bookmarkStart w:id="27" w:name="_Toc16078238"/>
      <w:bookmarkStart w:id="28" w:name="_Toc16078257"/>
      <w:r w:rsidRPr="000E2B44">
        <w:t xml:space="preserve">Question </w:t>
      </w:r>
      <w:fldSimple w:instr=" SEQ Q \* MERGEFORMAT ">
        <w:r w:rsidR="00CB486F">
          <w:rPr>
            <w:noProof/>
          </w:rPr>
          <w:t>4</w:t>
        </w:r>
      </w:fldSimple>
      <w:r w:rsidRPr="000E2B44">
        <w:t xml:space="preserve">: </w:t>
      </w:r>
      <w:r w:rsidRPr="000E2B44">
        <w:tab/>
        <w:t>Should there be any restrictions on the length of the lease?</w:t>
      </w:r>
    </w:p>
    <w:p w14:paraId="72D82034" w14:textId="15175490" w:rsidR="00B02FCB" w:rsidRDefault="00B02FCB" w:rsidP="000E2B44">
      <w:pPr>
        <w:pStyle w:val="Heading3"/>
      </w:pPr>
      <w:r>
        <w:t>Should a lease be registered?</w:t>
      </w:r>
    </w:p>
    <w:p w14:paraId="7301B682" w14:textId="77777777" w:rsidR="00B02FCB" w:rsidRDefault="00B02FCB" w:rsidP="00B02FCB">
      <w:r>
        <w:t xml:space="preserve">The </w:t>
      </w:r>
      <w:r>
        <w:rPr>
          <w:i/>
        </w:rPr>
        <w:t>Land Titles Act 1980</w:t>
      </w:r>
      <w:r>
        <w:t xml:space="preserve"> sets up a process for registering leases in a central registry where the lease arrangement is discoverable by search. This means that if the property is sold, the new owner is deemed to have known about the lease and is obliged to honour its terms.</w:t>
      </w:r>
    </w:p>
    <w:p w14:paraId="1EF0C498" w14:textId="56C87B57" w:rsidR="00B02FCB" w:rsidRDefault="00B02FCB" w:rsidP="00A779BF">
      <w:pPr>
        <w:pStyle w:val="Bullets"/>
        <w:numPr>
          <w:ilvl w:val="0"/>
          <w:numId w:val="0"/>
        </w:numPr>
      </w:pPr>
      <w:r w:rsidRPr="008E18E2">
        <w:t xml:space="preserve">Only </w:t>
      </w:r>
      <w:r w:rsidR="009A0EDA" w:rsidRPr="008E18E2">
        <w:t>leases, which are of three years or more,</w:t>
      </w:r>
      <w:r w:rsidRPr="008E18E2">
        <w:t xml:space="preserve"> may be registered.</w:t>
      </w:r>
      <w:r w:rsidR="00A779BF">
        <w:t xml:space="preserve"> </w:t>
      </w:r>
      <w:r>
        <w:t>Registration of leases is not currently mandatory but can be negotiated between tenant and landlord, however if the landlord does not agree, the tenant can still unilaterally take out a caveat on a title claiming a leasehold interest.</w:t>
      </w:r>
    </w:p>
    <w:p w14:paraId="740322CA" w14:textId="13BD1032" w:rsidR="008C62F9" w:rsidRPr="000E2B44" w:rsidRDefault="008C62F9" w:rsidP="008C62F9">
      <w:pPr>
        <w:pStyle w:val="question"/>
      </w:pPr>
      <w:r w:rsidRPr="000E2B44">
        <w:lastRenderedPageBreak/>
        <w:t xml:space="preserve">Question </w:t>
      </w:r>
      <w:fldSimple w:instr=" SEQ Q \* MERGEFORMAT ">
        <w:r w:rsidR="00CB486F">
          <w:rPr>
            <w:noProof/>
          </w:rPr>
          <w:t>5</w:t>
        </w:r>
      </w:fldSimple>
      <w:r w:rsidRPr="000E2B44">
        <w:t xml:space="preserve">: </w:t>
      </w:r>
      <w:r w:rsidRPr="000E2B44">
        <w:tab/>
      </w:r>
      <w:r w:rsidR="009C6B91">
        <w:t>Is there a benefit in</w:t>
      </w:r>
      <w:r>
        <w:t xml:space="preserve"> requiring a lease to be registered</w:t>
      </w:r>
      <w:r w:rsidRPr="000E2B44">
        <w:t>?</w:t>
      </w:r>
      <w:r w:rsidR="009C6B91">
        <w:t xml:space="preserve"> When should this occur?</w:t>
      </w:r>
    </w:p>
    <w:p w14:paraId="591E890C" w14:textId="0F34ACDC" w:rsidR="00B06C80" w:rsidRDefault="00B06C80" w:rsidP="000E2B44">
      <w:pPr>
        <w:pStyle w:val="Heading3"/>
      </w:pPr>
      <w:r>
        <w:t>Costs</w:t>
      </w:r>
      <w:r w:rsidR="00AE211F">
        <w:t xml:space="preserve"> of entering a lease and premises fit-out</w:t>
      </w:r>
      <w:bookmarkEnd w:id="27"/>
      <w:bookmarkEnd w:id="28"/>
    </w:p>
    <w:p w14:paraId="3F837069" w14:textId="1B54F3F6" w:rsidR="00AE211F" w:rsidRDefault="00AE211F" w:rsidP="00170D54">
      <w:r>
        <w:t>In interstate retail lease legislation, there are two main options regarding who pays the costs of entering a lease:</w:t>
      </w:r>
    </w:p>
    <w:p w14:paraId="307C48AF" w14:textId="4341D7CA" w:rsidR="00AE211F" w:rsidRDefault="00AE211F" w:rsidP="00916EC6">
      <w:pPr>
        <w:pStyle w:val="ListParagraph"/>
        <w:numPr>
          <w:ilvl w:val="0"/>
          <w:numId w:val="26"/>
        </w:numPr>
        <w:ind w:left="357" w:hanging="357"/>
        <w:contextualSpacing w:val="0"/>
      </w:pPr>
      <w:r>
        <w:t>Each party pays their own costs in relation to the lease preparation; or</w:t>
      </w:r>
    </w:p>
    <w:p w14:paraId="7628744B" w14:textId="542D0EA8" w:rsidR="00AE211F" w:rsidRDefault="00AE211F" w:rsidP="00916EC6">
      <w:pPr>
        <w:pStyle w:val="ListParagraph"/>
        <w:numPr>
          <w:ilvl w:val="0"/>
          <w:numId w:val="26"/>
        </w:numPr>
        <w:ind w:left="357" w:hanging="357"/>
        <w:contextualSpacing w:val="0"/>
      </w:pPr>
      <w:r>
        <w:t>The landlord is fully responsible for the lease preparation costs; but is able to recover from the tenant reasonable costs incurred when entering the lease (or else may only recover specific costs, such as where the consent of a Government agency was required for operation of the lease).</w:t>
      </w:r>
    </w:p>
    <w:p w14:paraId="7B32A9FC" w14:textId="6AD39C1A" w:rsidR="00AE211F" w:rsidRDefault="00AE211F" w:rsidP="00170D54">
      <w:r>
        <w:t>Costs may include legal costs, discharge of mortgages and stamp duty costs.</w:t>
      </w:r>
    </w:p>
    <w:p w14:paraId="53187207" w14:textId="23A428CE" w:rsidR="00697831" w:rsidRDefault="00697831" w:rsidP="00170D54">
      <w:r>
        <w:t>There is also the question of who should pay for fit-outs, particularly if there is going to be a change of use of the premises – for example to change from general retail to food service.</w:t>
      </w:r>
    </w:p>
    <w:p w14:paraId="6BBE3BA7" w14:textId="71AF722D" w:rsidR="00C250DA" w:rsidRDefault="00C250DA" w:rsidP="00170D54">
      <w:r>
        <w:t xml:space="preserve">Landlords are </w:t>
      </w:r>
      <w:r w:rsidR="00F226A7">
        <w:t xml:space="preserve">not allowed to request </w:t>
      </w:r>
      <w:r>
        <w:t>“key money” in a</w:t>
      </w:r>
      <w:r w:rsidR="00F226A7">
        <w:t>ny</w:t>
      </w:r>
      <w:r>
        <w:t xml:space="preserve"> Australian legislation, including our current Code. This money is sometimes described as a fee for ‘collecting the keys’, 'signing the contract' or 'renewing the lease’, which is out of proportion with the actual costs of performing these activities.</w:t>
      </w:r>
    </w:p>
    <w:p w14:paraId="43398E35" w14:textId="208E3F50" w:rsidR="00C250DA" w:rsidRDefault="00C250DA" w:rsidP="00170D54">
      <w:r>
        <w:t>Landlords are also prohibited from ask</w:t>
      </w:r>
      <w:r w:rsidR="00D53F44">
        <w:t>ing</w:t>
      </w:r>
      <w:r>
        <w:t xml:space="preserve"> for key money or expenses in connection with a renewal or extension of a lease, unless the amendments to the lease have been requested by the tenant and may </w:t>
      </w:r>
      <w:r w:rsidR="00FA2EC6">
        <w:t>result in increased lease preparation expenses.</w:t>
      </w:r>
    </w:p>
    <w:p w14:paraId="523A286F" w14:textId="2D8012AA" w:rsidR="002C3BF4" w:rsidRDefault="002C3BF4" w:rsidP="00170D54">
      <w:r>
        <w:t xml:space="preserve">The Code provides that a security deposit is </w:t>
      </w:r>
      <w:r w:rsidRPr="005818C5">
        <w:t xml:space="preserve">limited to </w:t>
      </w:r>
      <w:r>
        <w:t>the equivalent of three</w:t>
      </w:r>
      <w:r w:rsidRPr="005818C5">
        <w:t xml:space="preserve"> months</w:t>
      </w:r>
      <w:r>
        <w:t>’ rent. The</w:t>
      </w:r>
      <w:r w:rsidR="009444FD">
        <w:t> </w:t>
      </w:r>
      <w:r>
        <w:t>2002</w:t>
      </w:r>
      <w:r w:rsidR="009444FD">
        <w:t> </w:t>
      </w:r>
      <w:r>
        <w:t>review of the Code questioned whether this area n</w:t>
      </w:r>
      <w:r w:rsidRPr="005818C5">
        <w:t>eed</w:t>
      </w:r>
      <w:r>
        <w:t>ed</w:t>
      </w:r>
      <w:r w:rsidRPr="005818C5">
        <w:t xml:space="preserve"> to be regulated</w:t>
      </w:r>
      <w:r>
        <w:t xml:space="preserve"> at all or whether it should be </w:t>
      </w:r>
      <w:r w:rsidRPr="005818C5">
        <w:t>left to the</w:t>
      </w:r>
      <w:r>
        <w:t xml:space="preserve"> parties to negotiate. </w:t>
      </w:r>
    </w:p>
    <w:p w14:paraId="43AE593E" w14:textId="31BD9CEE" w:rsidR="002C3BF4" w:rsidRDefault="002C3BF4" w:rsidP="00170D54">
      <w:r>
        <w:t>However most other jurisdictions now have in place detailed provisions dealing with the operation of these guarantees or similar undertakings.</w:t>
      </w:r>
    </w:p>
    <w:p w14:paraId="174A6ADA" w14:textId="75B4FA3B" w:rsidR="00366517" w:rsidRDefault="00366517" w:rsidP="00B02FCB">
      <w:pPr>
        <w:pStyle w:val="question"/>
      </w:pPr>
      <w:r w:rsidRPr="00C9322B">
        <w:t xml:space="preserve">Question </w:t>
      </w:r>
      <w:fldSimple w:instr=" SEQ Q \* MERGEFORMAT ">
        <w:r w:rsidR="00CB486F">
          <w:rPr>
            <w:noProof/>
          </w:rPr>
          <w:t>6</w:t>
        </w:r>
      </w:fldSimple>
      <w:r w:rsidRPr="00C9322B">
        <w:t xml:space="preserve">: </w:t>
      </w:r>
      <w:r w:rsidR="00F226A7">
        <w:tab/>
        <w:t>W</w:t>
      </w:r>
      <w:r w:rsidR="00FC268D">
        <w:t>ho should pay the cost of establishing a new lease and any necessary changes to the premises?</w:t>
      </w:r>
    </w:p>
    <w:p w14:paraId="7648021F" w14:textId="39CBD073" w:rsidR="00FC268D" w:rsidRPr="00C9322B" w:rsidRDefault="00FC268D" w:rsidP="00B02FCB">
      <w:pPr>
        <w:pStyle w:val="question"/>
      </w:pPr>
      <w:r>
        <w:t xml:space="preserve">Question </w:t>
      </w:r>
      <w:fldSimple w:instr=" SEQ Q \* MERGEFORMAT ">
        <w:r w:rsidR="00CB486F">
          <w:rPr>
            <w:noProof/>
          </w:rPr>
          <w:t>7</w:t>
        </w:r>
      </w:fldSimple>
      <w:r>
        <w:t xml:space="preserve">: </w:t>
      </w:r>
      <w:r w:rsidR="00F226A7">
        <w:tab/>
      </w:r>
      <w:r>
        <w:t>Should there be any restrictions on monies paid up front in the form of a security guarantee, bond, deposit or key money?</w:t>
      </w:r>
    </w:p>
    <w:p w14:paraId="73D48C26" w14:textId="70061DDE" w:rsidR="002749FA" w:rsidRDefault="00EE0CAE" w:rsidP="000E2B44">
      <w:pPr>
        <w:pStyle w:val="Heading2"/>
      </w:pPr>
      <w:bookmarkStart w:id="29" w:name="_Toc16078239"/>
      <w:bookmarkStart w:id="30" w:name="_Toc16078258"/>
      <w:bookmarkStart w:id="31" w:name="_Toc20841092"/>
      <w:r>
        <w:t>Rent</w:t>
      </w:r>
      <w:bookmarkEnd w:id="29"/>
      <w:bookmarkEnd w:id="30"/>
      <w:bookmarkEnd w:id="31"/>
    </w:p>
    <w:p w14:paraId="35B4D36F" w14:textId="7CA2F4B5" w:rsidR="002C3BF4" w:rsidRDefault="002C3BF4" w:rsidP="00916EC6">
      <w:pPr>
        <w:keepNext/>
      </w:pPr>
      <w:r>
        <w:t xml:space="preserve">Landlords and tenants need to agree on the amount of rent, when it should be paid, including whether the first payment is due on signing of the lease, or </w:t>
      </w:r>
      <w:r w:rsidR="00B1432B">
        <w:t>after</w:t>
      </w:r>
      <w:r>
        <w:t xml:space="preserve"> any </w:t>
      </w:r>
      <w:r w:rsidR="005E3F35">
        <w:t>fit-outs</w:t>
      </w:r>
      <w:r>
        <w:t xml:space="preserve"> </w:t>
      </w:r>
      <w:r w:rsidR="00B1432B">
        <w:t>have been</w:t>
      </w:r>
      <w:r>
        <w:t xml:space="preserve"> completed.</w:t>
      </w:r>
    </w:p>
    <w:p w14:paraId="60328394" w14:textId="4B7E0FD3" w:rsidR="002C3BF4" w:rsidRPr="002C3BF4" w:rsidRDefault="002C3BF4" w:rsidP="00916EC6">
      <w:pPr>
        <w:keepNext/>
      </w:pPr>
      <w:r>
        <w:t>There should be clear provisions for how the rent is calculated, and reviewed.</w:t>
      </w:r>
    </w:p>
    <w:p w14:paraId="67295E3B" w14:textId="0C2885FA" w:rsidR="00EE0CAE" w:rsidRDefault="0023372E" w:rsidP="00170D54">
      <w:r>
        <w:t>Th</w:t>
      </w:r>
      <w:r w:rsidR="00063EE4">
        <w:t>ese</w:t>
      </w:r>
      <w:r>
        <w:t xml:space="preserve"> may include:</w:t>
      </w:r>
    </w:p>
    <w:p w14:paraId="6FBD32B3" w14:textId="374699F2" w:rsidR="0023372E" w:rsidRDefault="0023372E" w:rsidP="00F540E5">
      <w:pPr>
        <w:pStyle w:val="Bullets"/>
        <w:ind w:left="714" w:hanging="357"/>
      </w:pPr>
      <w:r>
        <w:t xml:space="preserve">If </w:t>
      </w:r>
      <w:r w:rsidR="009444FD">
        <w:t>rent may be adjusted during the term of a</w:t>
      </w:r>
      <w:r>
        <w:t xml:space="preserve"> lease</w:t>
      </w:r>
      <w:r w:rsidR="00441E27">
        <w:t>;</w:t>
      </w:r>
      <w:r>
        <w:t xml:space="preserve"> </w:t>
      </w:r>
    </w:p>
    <w:p w14:paraId="484EF8F5" w14:textId="36C63453" w:rsidR="0023372E" w:rsidRDefault="0023372E" w:rsidP="00F540E5">
      <w:pPr>
        <w:pStyle w:val="Bullets"/>
        <w:ind w:left="714" w:hanging="357"/>
      </w:pPr>
      <w:r>
        <w:t>Timing of reviews of rent increases</w:t>
      </w:r>
      <w:r w:rsidR="00441E27">
        <w:t>;</w:t>
      </w:r>
      <w:r>
        <w:t xml:space="preserve"> </w:t>
      </w:r>
    </w:p>
    <w:p w14:paraId="18B1B9A1" w14:textId="76906F43" w:rsidR="0023372E" w:rsidRDefault="0023372E" w:rsidP="00F540E5">
      <w:pPr>
        <w:pStyle w:val="Bullets"/>
        <w:ind w:left="714" w:hanging="357"/>
      </w:pPr>
      <w:r>
        <w:t>How rent reviews may be conducted, how often, and when during the lease; for example, not during the first 12 months and then not more than once every 12 months</w:t>
      </w:r>
      <w:r w:rsidR="00441E27">
        <w:t>;</w:t>
      </w:r>
      <w:r w:rsidRPr="00A63E0F">
        <w:t xml:space="preserve"> </w:t>
      </w:r>
    </w:p>
    <w:p w14:paraId="752B1B2B" w14:textId="1BE97C8C" w:rsidR="0023372E" w:rsidRDefault="00063EE4" w:rsidP="00F540E5">
      <w:pPr>
        <w:pStyle w:val="Bullets"/>
        <w:ind w:left="714" w:hanging="357"/>
      </w:pPr>
      <w:r>
        <w:t>Process for handling d</w:t>
      </w:r>
      <w:r w:rsidR="0023372E">
        <w:t xml:space="preserve">isputes about rent increases – </w:t>
      </w:r>
      <w:r>
        <w:t xml:space="preserve">can </w:t>
      </w:r>
      <w:r w:rsidR="0023372E">
        <w:t>a valuer (expert) be engaged to determine an appropriate amount</w:t>
      </w:r>
      <w:r w:rsidR="00441E27">
        <w:t>;</w:t>
      </w:r>
    </w:p>
    <w:p w14:paraId="11BE3DFB" w14:textId="07A1F360" w:rsidR="0023372E" w:rsidRPr="00863A60" w:rsidRDefault="0023372E" w:rsidP="00F540E5">
      <w:pPr>
        <w:pStyle w:val="Bullets"/>
        <w:ind w:left="714" w:hanging="357"/>
      </w:pPr>
      <w:r w:rsidRPr="00863A60">
        <w:lastRenderedPageBreak/>
        <w:t xml:space="preserve">Confidentiality of </w:t>
      </w:r>
      <w:r>
        <w:t xml:space="preserve">the </w:t>
      </w:r>
      <w:r w:rsidRPr="00863A60">
        <w:t xml:space="preserve">information </w:t>
      </w:r>
      <w:r>
        <w:t xml:space="preserve">that is </w:t>
      </w:r>
      <w:r w:rsidRPr="00863A60">
        <w:t xml:space="preserve">supplied to </w:t>
      </w:r>
      <w:r>
        <w:t xml:space="preserve">a </w:t>
      </w:r>
      <w:r w:rsidRPr="00863A60">
        <w:t>valuer</w:t>
      </w:r>
      <w:r>
        <w:t xml:space="preserve"> when deciding on the rent review</w:t>
      </w:r>
      <w:r w:rsidR="00441E27">
        <w:t>;</w:t>
      </w:r>
    </w:p>
    <w:p w14:paraId="7C532630" w14:textId="30889A11" w:rsidR="0023372E" w:rsidRPr="009B093F" w:rsidRDefault="0023372E" w:rsidP="00F540E5">
      <w:pPr>
        <w:pStyle w:val="Bullets"/>
        <w:ind w:left="714" w:hanging="357"/>
      </w:pPr>
      <w:r>
        <w:t>Tasmania</w:t>
      </w:r>
      <w:r w:rsidRPr="009B093F">
        <w:t xml:space="preserve"> </w:t>
      </w:r>
      <w:r>
        <w:t>is</w:t>
      </w:r>
      <w:r w:rsidRPr="009B093F">
        <w:t xml:space="preserve"> the only state where the tenant has the right to know </w:t>
      </w:r>
      <w:r>
        <w:t xml:space="preserve">the </w:t>
      </w:r>
      <w:r w:rsidRPr="009B093F">
        <w:t>market</w:t>
      </w:r>
      <w:r>
        <w:t xml:space="preserve"> rent before exercising an option. T</w:t>
      </w:r>
      <w:r w:rsidRPr="009B093F">
        <w:t>his only affects leases where the starting rent is to be the “current market value rent”.</w:t>
      </w:r>
    </w:p>
    <w:p w14:paraId="64BC771D" w14:textId="767B87EB" w:rsidR="000F5B0D" w:rsidRPr="00973467" w:rsidRDefault="000F5B0D" w:rsidP="00B02FCB">
      <w:pPr>
        <w:pStyle w:val="question"/>
        <w:rPr>
          <w:szCs w:val="22"/>
        </w:rPr>
      </w:pPr>
      <w:r>
        <w:t xml:space="preserve">Question </w:t>
      </w:r>
      <w:fldSimple w:instr=" SEQ Q \* MERGEFORMAT ">
        <w:r w:rsidR="00CB486F">
          <w:rPr>
            <w:noProof/>
          </w:rPr>
          <w:t>8</w:t>
        </w:r>
      </w:fldSimple>
      <w:r>
        <w:t xml:space="preserve">: </w:t>
      </w:r>
      <w:r>
        <w:tab/>
      </w:r>
      <w:r w:rsidR="00150C7C">
        <w:t>Are there</w:t>
      </w:r>
      <w:r>
        <w:t xml:space="preserve"> changes you </w:t>
      </w:r>
      <w:r w:rsidR="00150C7C">
        <w:t xml:space="preserve">would </w:t>
      </w:r>
      <w:r>
        <w:t>like to see regarding arrangements for rent</w:t>
      </w:r>
      <w:r w:rsidR="00150C7C">
        <w:t xml:space="preserve"> or does the current system work</w:t>
      </w:r>
      <w:r>
        <w:t>?</w:t>
      </w:r>
    </w:p>
    <w:p w14:paraId="69E38E10" w14:textId="64EB7038" w:rsidR="00EE0CAE" w:rsidRDefault="00EE0CAE" w:rsidP="000E2B44">
      <w:pPr>
        <w:pStyle w:val="Heading2"/>
      </w:pPr>
      <w:bookmarkStart w:id="32" w:name="_Toc16078240"/>
      <w:bookmarkStart w:id="33" w:name="_Toc16078259"/>
      <w:bookmarkStart w:id="34" w:name="_Toc20841093"/>
      <w:r>
        <w:t>Outgoings</w:t>
      </w:r>
      <w:bookmarkEnd w:id="32"/>
      <w:bookmarkEnd w:id="33"/>
      <w:bookmarkEnd w:id="34"/>
    </w:p>
    <w:p w14:paraId="1418BFB1" w14:textId="35E9A6D0" w:rsidR="00063EE4" w:rsidRDefault="00063EE4" w:rsidP="00170D54">
      <w:pPr>
        <w:rPr>
          <w:b/>
          <w:bCs/>
        </w:rPr>
      </w:pPr>
      <w:r w:rsidRPr="00D85DEE">
        <w:t xml:space="preserve">Outgoings are </w:t>
      </w:r>
      <w:r>
        <w:t xml:space="preserve">certain </w:t>
      </w:r>
      <w:r w:rsidRPr="00D85DEE">
        <w:t>expenses of the landlord</w:t>
      </w:r>
      <w:r>
        <w:t>, which</w:t>
      </w:r>
      <w:r w:rsidRPr="00D85DEE">
        <w:t xml:space="preserve"> the</w:t>
      </w:r>
      <w:r>
        <w:t xml:space="preserve"> </w:t>
      </w:r>
      <w:r w:rsidRPr="00D85DEE">
        <w:t>tenant has agreed to pay under the lease.</w:t>
      </w:r>
    </w:p>
    <w:p w14:paraId="58E1097F" w14:textId="0F10E302" w:rsidR="00063EE4" w:rsidRDefault="00916EC6" w:rsidP="00170D54">
      <w:r>
        <w:t>A lease should</w:t>
      </w:r>
      <w:r w:rsidR="00063EE4">
        <w:t xml:space="preserve"> clearly define outgoings, what they cover and specify whether GST and land tax are included. </w:t>
      </w:r>
    </w:p>
    <w:p w14:paraId="087843B3" w14:textId="19181338" w:rsidR="00E57172" w:rsidRPr="00063EE4" w:rsidRDefault="00E57172" w:rsidP="00170D54">
      <w:r>
        <w:t>The tenant should not be liable to pay any amount unless the item was disclosed at the time of lease negotiation.</w:t>
      </w:r>
    </w:p>
    <w:p w14:paraId="580E6DA0" w14:textId="5F835EDD" w:rsidR="00063EE4" w:rsidRPr="00624F2A" w:rsidRDefault="00063EE4" w:rsidP="00170D54">
      <w:r>
        <w:t>The</w:t>
      </w:r>
      <w:r w:rsidR="00AF31B7">
        <w:t xml:space="preserve"> following</w:t>
      </w:r>
      <w:r>
        <w:t xml:space="preserve"> outgoings are usually </w:t>
      </w:r>
      <w:r w:rsidRPr="00863A60">
        <w:t>not recoverable</w:t>
      </w:r>
      <w:r>
        <w:t xml:space="preserve"> from a tenant, even if “disclosed</w:t>
      </w:r>
      <w:r w:rsidRPr="00624F2A">
        <w:t>”</w:t>
      </w:r>
      <w:r>
        <w:t xml:space="preserve"> before a lease is signed</w:t>
      </w:r>
      <w:r w:rsidRPr="00624F2A">
        <w:t>:</w:t>
      </w:r>
    </w:p>
    <w:p w14:paraId="3C906E9D" w14:textId="7E0F69F0" w:rsidR="00063EE4" w:rsidRPr="00863A60" w:rsidRDefault="00063EE4" w:rsidP="00F540E5">
      <w:pPr>
        <w:pStyle w:val="Bullets"/>
        <w:ind w:left="714" w:hanging="357"/>
      </w:pPr>
      <w:r>
        <w:t>c</w:t>
      </w:r>
      <w:r w:rsidRPr="00863A60">
        <w:t xml:space="preserve">apital </w:t>
      </w:r>
      <w:r>
        <w:t>expenditure</w:t>
      </w:r>
      <w:r w:rsidR="00445071">
        <w:t>;</w:t>
      </w:r>
      <w:r w:rsidRPr="00863A60">
        <w:t xml:space="preserve"> </w:t>
      </w:r>
    </w:p>
    <w:p w14:paraId="0BF04E90" w14:textId="3FAD64D7" w:rsidR="00063EE4" w:rsidRPr="005C2838" w:rsidRDefault="00063EE4" w:rsidP="00F540E5">
      <w:pPr>
        <w:pStyle w:val="Bullets"/>
        <w:ind w:left="714" w:hanging="357"/>
      </w:pPr>
      <w:r>
        <w:t>contribution</w:t>
      </w:r>
      <w:r w:rsidRPr="005C2838">
        <w:t xml:space="preserve"> to </w:t>
      </w:r>
      <w:r>
        <w:t>a</w:t>
      </w:r>
      <w:r w:rsidR="001133E8" w:rsidRPr="001133E8">
        <w:t xml:space="preserve"> fund which the landlord uses for major repairs and maintenance</w:t>
      </w:r>
      <w:r w:rsidR="00445071">
        <w:t>;</w:t>
      </w:r>
      <w:r w:rsidRPr="005C2838">
        <w:t xml:space="preserve"> </w:t>
      </w:r>
    </w:p>
    <w:p w14:paraId="1D028F68" w14:textId="6585DAB9" w:rsidR="00063EE4" w:rsidRPr="00863A60" w:rsidRDefault="00063EE4" w:rsidP="00F540E5">
      <w:pPr>
        <w:pStyle w:val="Bullets"/>
        <w:ind w:left="714" w:hanging="357"/>
      </w:pPr>
      <w:r>
        <w:t>d</w:t>
      </w:r>
      <w:r w:rsidRPr="00863A60">
        <w:t>epreciation</w:t>
      </w:r>
      <w:r w:rsidR="00445071">
        <w:t>;</w:t>
      </w:r>
      <w:r w:rsidRPr="00863A60">
        <w:t xml:space="preserve"> </w:t>
      </w:r>
    </w:p>
    <w:p w14:paraId="064438E4" w14:textId="0680339D" w:rsidR="00063EE4" w:rsidRPr="00645FC7" w:rsidRDefault="00063EE4" w:rsidP="00F540E5">
      <w:pPr>
        <w:pStyle w:val="Bullets"/>
        <w:ind w:left="714" w:hanging="357"/>
      </w:pPr>
      <w:r>
        <w:t>l</w:t>
      </w:r>
      <w:r w:rsidRPr="00645FC7">
        <w:t>and tax</w:t>
      </w:r>
      <w:r w:rsidR="00445071">
        <w:t>;</w:t>
      </w:r>
      <w:r w:rsidRPr="00645FC7">
        <w:t xml:space="preserve"> </w:t>
      </w:r>
    </w:p>
    <w:p w14:paraId="02472779" w14:textId="582B1857" w:rsidR="00063EE4" w:rsidRDefault="00063EE4" w:rsidP="00F540E5">
      <w:pPr>
        <w:pStyle w:val="Bullets"/>
        <w:ind w:left="714" w:hanging="357"/>
      </w:pPr>
      <w:r>
        <w:t>i</w:t>
      </w:r>
      <w:r w:rsidRPr="00863A60">
        <w:t xml:space="preserve">nterest </w:t>
      </w:r>
      <w:r>
        <w:t xml:space="preserve">or charges </w:t>
      </w:r>
      <w:r w:rsidRPr="00863A60">
        <w:t>etc. on landlord's borrowings</w:t>
      </w:r>
      <w:r w:rsidR="00445071">
        <w:t>;</w:t>
      </w:r>
      <w:r w:rsidRPr="00863A60">
        <w:t xml:space="preserve"> </w:t>
      </w:r>
    </w:p>
    <w:p w14:paraId="7EC1F99C" w14:textId="2D386559" w:rsidR="00063EE4" w:rsidRDefault="00063EE4" w:rsidP="00F540E5">
      <w:pPr>
        <w:pStyle w:val="Bullets"/>
        <w:ind w:left="714" w:hanging="357"/>
      </w:pPr>
      <w:r>
        <w:t>r</w:t>
      </w:r>
      <w:r w:rsidRPr="00863A60">
        <w:t>ent etc. associated with other land</w:t>
      </w:r>
      <w:r w:rsidR="00445071">
        <w:t>;</w:t>
      </w:r>
      <w:r w:rsidRPr="00863A60">
        <w:t xml:space="preserve"> </w:t>
      </w:r>
    </w:p>
    <w:p w14:paraId="7291DFC4" w14:textId="3711ABBC" w:rsidR="00063EE4" w:rsidRDefault="00063EE4" w:rsidP="00F540E5">
      <w:pPr>
        <w:pStyle w:val="Bullets"/>
        <w:ind w:left="714" w:hanging="357"/>
      </w:pPr>
      <w:r>
        <w:t>insurance premiums or excess on a landlord’s claim</w:t>
      </w:r>
      <w:r w:rsidR="00445071">
        <w:t>;</w:t>
      </w:r>
    </w:p>
    <w:p w14:paraId="614249FA" w14:textId="7BEB9F04" w:rsidR="00063EE4" w:rsidRPr="00863A60" w:rsidRDefault="00063EE4" w:rsidP="00F540E5">
      <w:pPr>
        <w:pStyle w:val="Bullets"/>
        <w:ind w:left="714" w:hanging="357"/>
      </w:pPr>
      <w:r>
        <w:t>the landlord’s contributions to merchant’s associations or shopping centre promotional funds</w:t>
      </w:r>
      <w:r w:rsidR="00445071">
        <w:t>.</w:t>
      </w:r>
    </w:p>
    <w:p w14:paraId="1534385C" w14:textId="17BDA477" w:rsidR="00EE0CAE" w:rsidRDefault="00E57172" w:rsidP="00B02FCB">
      <w:pPr>
        <w:pStyle w:val="question"/>
      </w:pPr>
      <w:r>
        <w:t xml:space="preserve">Question </w:t>
      </w:r>
      <w:fldSimple w:instr=" SEQ Q \* MERGEFORMAT ">
        <w:r w:rsidR="00CB486F">
          <w:rPr>
            <w:noProof/>
          </w:rPr>
          <w:t>9</w:t>
        </w:r>
      </w:fldSimple>
      <w:r>
        <w:t xml:space="preserve">: </w:t>
      </w:r>
      <w:r>
        <w:tab/>
        <w:t>How should outgoings and the responsibilities of each party in relation to outgoings be managed?</w:t>
      </w:r>
    </w:p>
    <w:p w14:paraId="2A1C401F" w14:textId="6B6BD247" w:rsidR="000C2F04" w:rsidRDefault="000C2F04" w:rsidP="000E2B44">
      <w:pPr>
        <w:pStyle w:val="Heading2"/>
      </w:pPr>
      <w:bookmarkStart w:id="35" w:name="_Toc20841094"/>
      <w:bookmarkStart w:id="36" w:name="_Toc16078241"/>
      <w:bookmarkStart w:id="37" w:name="_Toc16078260"/>
      <w:r>
        <w:t>Interference with retail tenancy during the lease</w:t>
      </w:r>
      <w:bookmarkEnd w:id="35"/>
    </w:p>
    <w:p w14:paraId="7E1AF4E3" w14:textId="5D1DACE7" w:rsidR="000C2F04" w:rsidRDefault="000C2F04" w:rsidP="00916EC6">
      <w:pPr>
        <w:keepNext/>
      </w:pPr>
      <w:r>
        <w:t>A general principle of retail leases legislation is that a tenant should be able to have “quiet enjoyment” of the leased premises without interference from the landlord</w:t>
      </w:r>
      <w:r w:rsidR="00C74CF0">
        <w:t xml:space="preserve">. </w:t>
      </w:r>
      <w:r>
        <w:t xml:space="preserve"> </w:t>
      </w:r>
      <w:r w:rsidR="00C74CF0">
        <w:t>A</w:t>
      </w:r>
      <w:r>
        <w:t xml:space="preserve"> landlord is liable to pay the tenant reasonable compensation for loss or damage suffered by the tenant if the landlord’s conduct (for an act, or an omission) adversely affects the tenant’s business.  </w:t>
      </w:r>
    </w:p>
    <w:p w14:paraId="541993EA" w14:textId="01F8E57D" w:rsidR="000C2F04" w:rsidRDefault="000A3D95" w:rsidP="00170D54">
      <w:r>
        <w:t>Disturbances can cover issues such as works to and around premises.</w:t>
      </w:r>
    </w:p>
    <w:p w14:paraId="4488AD4C" w14:textId="43E532B1" w:rsidR="000A3D95" w:rsidRDefault="000A3D95" w:rsidP="00170D54">
      <w:r>
        <w:t>The current Code does not include provisions regarding how such disturbances should be managed, including notification, offer of alternative premises and relocation costs.</w:t>
      </w:r>
    </w:p>
    <w:p w14:paraId="4AD69408" w14:textId="7E8EA740" w:rsidR="000A3D95" w:rsidRPr="00B02FCB" w:rsidRDefault="000A3D95" w:rsidP="00B02FCB">
      <w:pPr>
        <w:pStyle w:val="question"/>
      </w:pPr>
      <w:r w:rsidRPr="00B02FCB">
        <w:t xml:space="preserve">Question </w:t>
      </w:r>
      <w:fldSimple w:instr=" SEQ Q \* MERGEFORMAT ">
        <w:r w:rsidR="00CB486F">
          <w:rPr>
            <w:noProof/>
          </w:rPr>
          <w:t>10</w:t>
        </w:r>
      </w:fldSimple>
      <w:r w:rsidRPr="00B02FCB">
        <w:t xml:space="preserve">: </w:t>
      </w:r>
      <w:r w:rsidRPr="00B02FCB">
        <w:tab/>
        <w:t>What provisions should the Act include to clarify the rights and responsibilities of tenants and landlords regarding disturbances?</w:t>
      </w:r>
    </w:p>
    <w:p w14:paraId="34A25F92" w14:textId="718241BB" w:rsidR="00EE0CAE" w:rsidRDefault="00433988" w:rsidP="000E2B44">
      <w:pPr>
        <w:pStyle w:val="Heading2"/>
      </w:pPr>
      <w:bookmarkStart w:id="38" w:name="_Toc20841095"/>
      <w:r>
        <w:lastRenderedPageBreak/>
        <w:t>Sublett</w:t>
      </w:r>
      <w:r w:rsidR="00EE0CAE">
        <w:t>ing or transferring a lease</w:t>
      </w:r>
      <w:bookmarkEnd w:id="36"/>
      <w:bookmarkEnd w:id="37"/>
      <w:bookmarkEnd w:id="38"/>
    </w:p>
    <w:p w14:paraId="4018BF9E" w14:textId="217E03BF" w:rsidR="00DC6A32" w:rsidRDefault="00DC6A32" w:rsidP="00170D54">
      <w:r>
        <w:t xml:space="preserve">The current Code does not clearly specify the obligations of tenants and landlords when sub leasing, assigning </w:t>
      </w:r>
      <w:r w:rsidR="00433988">
        <w:t xml:space="preserve">(transferring) </w:t>
      </w:r>
      <w:r>
        <w:t>a lease to someone else or seeking to terminate a lease.</w:t>
      </w:r>
    </w:p>
    <w:p w14:paraId="04A3D66A" w14:textId="6FA8586F" w:rsidR="00DC6A32" w:rsidRDefault="00DC6A32" w:rsidP="00170D54">
      <w:r>
        <w:t xml:space="preserve">Generally, interstate retail lease legislation restricts a landlord’s ability to refuse consent for a lease to be assigned or sublet. </w:t>
      </w:r>
      <w:r w:rsidR="007C1B84">
        <w:t xml:space="preserve"> </w:t>
      </w:r>
      <w:r>
        <w:t>Key criteria that may justify a refusal are specified and an “assignor’s disclosure state”</w:t>
      </w:r>
      <w:r w:rsidR="00433988">
        <w:t xml:space="preserve"> </w:t>
      </w:r>
      <w:r>
        <w:t xml:space="preserve">which gives details of the proposed arrangement </w:t>
      </w:r>
      <w:r w:rsidR="00433988">
        <w:t>is</w:t>
      </w:r>
      <w:r>
        <w:t xml:space="preserve"> included.</w:t>
      </w:r>
    </w:p>
    <w:p w14:paraId="19FD8C7B" w14:textId="69220765" w:rsidR="00DC6A32" w:rsidRDefault="00433988" w:rsidP="00170D54">
      <w:r>
        <w:t xml:space="preserve">Additions to </w:t>
      </w:r>
      <w:r w:rsidR="00AF31B7">
        <w:t>a new</w:t>
      </w:r>
      <w:r>
        <w:t xml:space="preserve"> Tasmanian </w:t>
      </w:r>
      <w:r w:rsidR="00AF31B7">
        <w:t xml:space="preserve">Retail Leases </w:t>
      </w:r>
      <w:r>
        <w:t>Act may include similar provisions, as well as procedures and time frames for making assignment or sub-leasing arrangements.</w:t>
      </w:r>
    </w:p>
    <w:p w14:paraId="06A1DEC0" w14:textId="7EA2A5AD" w:rsidR="00433988" w:rsidRPr="00DC6A32" w:rsidRDefault="00433988" w:rsidP="00F540E5">
      <w:pPr>
        <w:pStyle w:val="Bullets"/>
        <w:ind w:left="714" w:hanging="357"/>
      </w:pPr>
      <w:r>
        <w:t>Does the Act need to ensure that the same protections apply to the new tenant</w:t>
      </w:r>
      <w:r w:rsidR="005E7D5B">
        <w:t>?</w:t>
      </w:r>
      <w:r>
        <w:t xml:space="preserve"> </w:t>
      </w:r>
    </w:p>
    <w:p w14:paraId="549892FF" w14:textId="01A2EAB6" w:rsidR="00113B61" w:rsidRDefault="00113B61" w:rsidP="00F540E5">
      <w:pPr>
        <w:pStyle w:val="Bullets"/>
        <w:ind w:left="714" w:hanging="357"/>
      </w:pPr>
      <w:r>
        <w:t>Alternatively, when a tenant chooses to “assign” their lease to someone else, should this be taken to be a termination of the lease?</w:t>
      </w:r>
    </w:p>
    <w:p w14:paraId="59466CF0" w14:textId="77777777" w:rsidR="00C85AA7" w:rsidRDefault="00916EC6" w:rsidP="00F540E5">
      <w:pPr>
        <w:spacing w:before="120"/>
      </w:pPr>
      <w:r>
        <w:t xml:space="preserve">The current Code prohibits a provision in a lease that requires a tenant to indemnify a property owner against any action, liability, penalty, claim or demand. This seems to be unique to Tasmania. </w:t>
      </w:r>
    </w:p>
    <w:p w14:paraId="499170E3" w14:textId="32CC0E1E" w:rsidR="00916EC6" w:rsidRDefault="00916EC6" w:rsidP="00F540E5">
      <w:pPr>
        <w:pStyle w:val="Bullets"/>
        <w:ind w:left="714" w:hanging="357"/>
      </w:pPr>
      <w:r>
        <w:t xml:space="preserve">Should the </w:t>
      </w:r>
      <w:r w:rsidR="005A78FF">
        <w:t>landlord be able to claim reasonable legal costs if a tenant chooses to assign a lease to a new party?</w:t>
      </w:r>
    </w:p>
    <w:p w14:paraId="65E9F926" w14:textId="15E963CE" w:rsidR="00433988" w:rsidRDefault="00433988" w:rsidP="00B02FCB">
      <w:pPr>
        <w:pStyle w:val="question"/>
      </w:pPr>
      <w:r>
        <w:t xml:space="preserve">Question </w:t>
      </w:r>
      <w:fldSimple w:instr=" SEQ Q \* MERGEFORMAT ">
        <w:r w:rsidR="00CB486F">
          <w:rPr>
            <w:noProof/>
          </w:rPr>
          <w:t>11</w:t>
        </w:r>
      </w:fldSimple>
      <w:r>
        <w:t xml:space="preserve">: </w:t>
      </w:r>
      <w:r>
        <w:tab/>
        <w:t>How should sub-leasing and assignment of a lease be managed?</w:t>
      </w:r>
    </w:p>
    <w:p w14:paraId="1D45A028" w14:textId="096CA4F5" w:rsidR="00EE0CAE" w:rsidRDefault="00EE0CAE" w:rsidP="000E2B44">
      <w:pPr>
        <w:pStyle w:val="Heading2"/>
      </w:pPr>
      <w:bookmarkStart w:id="39" w:name="_Toc16078242"/>
      <w:bookmarkStart w:id="40" w:name="_Toc16078261"/>
      <w:bookmarkStart w:id="41" w:name="_Toc20841096"/>
      <w:r>
        <w:t xml:space="preserve">Renewing </w:t>
      </w:r>
      <w:r w:rsidR="00113B61">
        <w:t xml:space="preserve">or ending </w:t>
      </w:r>
      <w:r>
        <w:t>a lease</w:t>
      </w:r>
      <w:bookmarkEnd w:id="39"/>
      <w:bookmarkEnd w:id="40"/>
      <w:bookmarkEnd w:id="41"/>
    </w:p>
    <w:p w14:paraId="203E8934" w14:textId="0138ED37" w:rsidR="00EE0CAE" w:rsidRDefault="003F70CF" w:rsidP="00170D54">
      <w:r>
        <w:t xml:space="preserve">At the end of a lease a landlord may </w:t>
      </w:r>
      <w:r w:rsidR="009D7D8A">
        <w:t>choose either</w:t>
      </w:r>
      <w:r>
        <w:t xml:space="preserve"> to renew the lease or let the premises to a new tenant. They may choose not to let the property again.</w:t>
      </w:r>
    </w:p>
    <w:p w14:paraId="6B76FC92" w14:textId="565CB001" w:rsidR="005E7D5B" w:rsidRDefault="005E7D5B" w:rsidP="00170D54">
      <w:r w:rsidRPr="005E7D5B">
        <w:t>However</w:t>
      </w:r>
      <w:r w:rsidR="007C1B84">
        <w:t>,</w:t>
      </w:r>
      <w:r w:rsidRPr="005E7D5B">
        <w:t xml:space="preserve"> before that time, the landlord should give the tenant notice stating </w:t>
      </w:r>
      <w:r w:rsidR="009D7D8A" w:rsidRPr="005E7D5B">
        <w:t>whether</w:t>
      </w:r>
      <w:r w:rsidRPr="005E7D5B">
        <w:t xml:space="preserve"> they plan to offe</w:t>
      </w:r>
      <w:r>
        <w:t xml:space="preserve">r them a renewal of the lease. The current Code requires the landlord </w:t>
      </w:r>
      <w:r w:rsidR="00AF31B7">
        <w:t>to</w:t>
      </w:r>
      <w:r>
        <w:t xml:space="preserve"> give notice in writing not less than 3 months before the expiry of a lease. Should this be </w:t>
      </w:r>
      <w:r w:rsidRPr="005E7D5B">
        <w:t>not less than six months and</w:t>
      </w:r>
      <w:r>
        <w:t xml:space="preserve"> up to 12 months, before expiry?</w:t>
      </w:r>
    </w:p>
    <w:p w14:paraId="16C2F76A" w14:textId="77777777" w:rsidR="0006054A" w:rsidRDefault="0006054A" w:rsidP="00F540E5">
      <w:pPr>
        <w:pStyle w:val="Bullets"/>
        <w:ind w:left="714" w:hanging="357"/>
      </w:pPr>
      <w:r>
        <w:t>What is a reasonable notice period to a tenant if the landlord chooses not to renew the lease?</w:t>
      </w:r>
    </w:p>
    <w:p w14:paraId="1B3CAAB0" w14:textId="4B11B4E9" w:rsidR="0006054A" w:rsidRDefault="0006054A" w:rsidP="00F540E5">
      <w:pPr>
        <w:pStyle w:val="Bullets"/>
        <w:ind w:left="714" w:hanging="357"/>
      </w:pPr>
      <w:r>
        <w:t xml:space="preserve">If a lease is to be renewed, should </w:t>
      </w:r>
      <w:r w:rsidR="009D7D8A">
        <w:t>a formal disclosure statement</w:t>
      </w:r>
      <w:r>
        <w:t xml:space="preserve"> be provided again?</w:t>
      </w:r>
    </w:p>
    <w:p w14:paraId="1D7FDF45" w14:textId="4B8D1A10" w:rsidR="0006054A" w:rsidRDefault="0006054A" w:rsidP="00F540E5">
      <w:pPr>
        <w:pStyle w:val="Bullets"/>
        <w:ind w:left="714" w:hanging="357"/>
      </w:pPr>
      <w:r>
        <w:t>Should the renewal include a statement of the proposed rent, or should the current rent continue until it is reassessed?</w:t>
      </w:r>
    </w:p>
    <w:p w14:paraId="4001FA6E" w14:textId="4FBB0192" w:rsidR="005E7D5B" w:rsidRDefault="005E7D5B" w:rsidP="00B02FCB">
      <w:pPr>
        <w:pStyle w:val="question"/>
      </w:pPr>
      <w:r>
        <w:t xml:space="preserve">Question </w:t>
      </w:r>
      <w:fldSimple w:instr=" SEQ Q \* MERGEFORMAT ">
        <w:r w:rsidR="00CB486F">
          <w:rPr>
            <w:noProof/>
          </w:rPr>
          <w:t>12</w:t>
        </w:r>
      </w:fldSimple>
      <w:r>
        <w:t xml:space="preserve">: </w:t>
      </w:r>
      <w:r>
        <w:tab/>
        <w:t>What processes should apply to renewing or ending a lease?</w:t>
      </w:r>
    </w:p>
    <w:p w14:paraId="6ED3BB94" w14:textId="337F0E9C" w:rsidR="00EE0CAE" w:rsidRDefault="00EE0CAE" w:rsidP="000E2B44">
      <w:pPr>
        <w:pStyle w:val="Heading2"/>
      </w:pPr>
      <w:bookmarkStart w:id="42" w:name="_Toc16078243"/>
      <w:bookmarkStart w:id="43" w:name="_Toc16078262"/>
      <w:bookmarkStart w:id="44" w:name="_Toc20841097"/>
      <w:r>
        <w:t>Special provisions for shopping centres</w:t>
      </w:r>
      <w:bookmarkEnd w:id="42"/>
      <w:bookmarkEnd w:id="43"/>
      <w:bookmarkEnd w:id="44"/>
    </w:p>
    <w:p w14:paraId="2C603AA2" w14:textId="06905F47" w:rsidR="00EE0CAE" w:rsidRDefault="00982F78" w:rsidP="00170D54">
      <w:r>
        <w:t>It is common for legislation governing retail leases to contain special provisions for retail premises located in retail shopping centres, for example Eastlands or Northgate, where access to premises may be determined by the landlord.</w:t>
      </w:r>
    </w:p>
    <w:p w14:paraId="6BA3E282" w14:textId="7B9236FA" w:rsidR="00982F78" w:rsidRDefault="00982F78" w:rsidP="00170D54">
      <w:r>
        <w:t>For example, there may be restrictions on trading hours, specified core trading hours, centre trading hours and special trading hours (for example at Christmas).</w:t>
      </w:r>
    </w:p>
    <w:p w14:paraId="33541386" w14:textId="5900A68E" w:rsidR="0001739F" w:rsidRDefault="0001739F" w:rsidP="00170D54">
      <w:r>
        <w:t>The Act may make provision for changing these hours by specifying the level of agreement required from tenants</w:t>
      </w:r>
      <w:r w:rsidR="005E3F35">
        <w:t>, for example requiring 75% of tenants to agree to a proposed change</w:t>
      </w:r>
      <w:r>
        <w:t>.</w:t>
      </w:r>
    </w:p>
    <w:p w14:paraId="46356942" w14:textId="3200CC4D" w:rsidR="00982F78" w:rsidRDefault="00982F78" w:rsidP="00170D54">
      <w:r>
        <w:t>Disclosure statements for leases in shopping centres may also include information about:</w:t>
      </w:r>
    </w:p>
    <w:p w14:paraId="7E30F5E3" w14:textId="77777777" w:rsidR="00982F78" w:rsidRDefault="00982F78" w:rsidP="00F540E5">
      <w:pPr>
        <w:pStyle w:val="Bullets"/>
        <w:ind w:left="714" w:hanging="357"/>
      </w:pPr>
      <w:r>
        <w:lastRenderedPageBreak/>
        <w:t>the annual sales of the centre;</w:t>
      </w:r>
    </w:p>
    <w:p w14:paraId="3755F6AF" w14:textId="77777777" w:rsidR="00982F78" w:rsidRDefault="00982F78" w:rsidP="00F540E5">
      <w:pPr>
        <w:pStyle w:val="Bullets"/>
        <w:ind w:left="714" w:hanging="357"/>
      </w:pPr>
      <w:r w:rsidRPr="00582C7D">
        <w:t>turnover for specialty shops per square</w:t>
      </w:r>
      <w:r>
        <w:t xml:space="preserve"> </w:t>
      </w:r>
      <w:r w:rsidRPr="00582C7D">
        <w:t>metre, using at least three categorie</w:t>
      </w:r>
      <w:r>
        <w:t>s (food, non-food and services);</w:t>
      </w:r>
    </w:p>
    <w:p w14:paraId="77E55CBB" w14:textId="77777777" w:rsidR="00982F78" w:rsidRDefault="00982F78" w:rsidP="00F540E5">
      <w:pPr>
        <w:pStyle w:val="Bullets"/>
        <w:ind w:left="714" w:hanging="357"/>
      </w:pPr>
      <w:r>
        <w:t>centre traffic count;</w:t>
      </w:r>
    </w:p>
    <w:p w14:paraId="352364E0" w14:textId="77777777" w:rsidR="00982F78" w:rsidRDefault="00982F78" w:rsidP="00F540E5">
      <w:pPr>
        <w:pStyle w:val="Bullets"/>
        <w:ind w:left="714" w:hanging="357"/>
      </w:pPr>
      <w:r w:rsidRPr="00582C7D">
        <w:t xml:space="preserve">details of </w:t>
      </w:r>
      <w:r>
        <w:t xml:space="preserve">specific </w:t>
      </w:r>
      <w:r w:rsidRPr="00582C7D">
        <w:t>fit-out</w:t>
      </w:r>
      <w:r>
        <w:t xml:space="preserve"> construction standards; </w:t>
      </w:r>
    </w:p>
    <w:p w14:paraId="29E1B16E" w14:textId="77777777" w:rsidR="00982F78" w:rsidRDefault="00982F78" w:rsidP="00F540E5">
      <w:pPr>
        <w:pStyle w:val="Bullets"/>
        <w:ind w:left="714" w:hanging="357"/>
      </w:pPr>
      <w:r w:rsidRPr="00582C7D">
        <w:t xml:space="preserve">details of when the leases </w:t>
      </w:r>
      <w:r>
        <w:t xml:space="preserve">of </w:t>
      </w:r>
      <w:r w:rsidRPr="00582C7D">
        <w:t>major tenants end</w:t>
      </w:r>
      <w:r>
        <w:t>;</w:t>
      </w:r>
    </w:p>
    <w:p w14:paraId="52608A73" w14:textId="77777777" w:rsidR="00982F78" w:rsidRDefault="00982F78" w:rsidP="00F540E5">
      <w:pPr>
        <w:pStyle w:val="Bullets"/>
        <w:ind w:left="714" w:hanging="357"/>
      </w:pPr>
      <w:r>
        <w:t>permitted uses of the prospective premises</w:t>
      </w:r>
      <w:r w:rsidRPr="00582C7D">
        <w:t>.</w:t>
      </w:r>
    </w:p>
    <w:p w14:paraId="63AA789E" w14:textId="519D0424" w:rsidR="00982F78" w:rsidRDefault="00982F78" w:rsidP="00F540E5">
      <w:pPr>
        <w:pStyle w:val="Bullets"/>
        <w:ind w:left="714" w:hanging="357"/>
      </w:pPr>
      <w:r>
        <w:t>There may also be special provisions relating to advertising and promotions.</w:t>
      </w:r>
    </w:p>
    <w:p w14:paraId="0FB4CAD3" w14:textId="14595084" w:rsidR="00982F78" w:rsidRDefault="00AF31B7" w:rsidP="00170D54">
      <w:r>
        <w:t>The current Code prohibits a</w:t>
      </w:r>
      <w:r w:rsidR="00982F78">
        <w:t xml:space="preserve"> landlord </w:t>
      </w:r>
      <w:r>
        <w:t>from using</w:t>
      </w:r>
      <w:r w:rsidR="00982F78">
        <w:t xml:space="preserve"> inadequate sales as a criterion for terminating a lease.</w:t>
      </w:r>
    </w:p>
    <w:p w14:paraId="14BFD861" w14:textId="09BEE478" w:rsidR="00052A2C" w:rsidRDefault="00052A2C" w:rsidP="00B02FCB">
      <w:pPr>
        <w:pStyle w:val="question"/>
      </w:pPr>
      <w:r>
        <w:t xml:space="preserve">Question </w:t>
      </w:r>
      <w:fldSimple w:instr=" SEQ Q \* MERGEFORMAT ">
        <w:r w:rsidR="00CB486F">
          <w:rPr>
            <w:noProof/>
          </w:rPr>
          <w:t>13</w:t>
        </w:r>
      </w:fldSimple>
      <w:r>
        <w:t xml:space="preserve">: </w:t>
      </w:r>
      <w:r>
        <w:tab/>
      </w:r>
      <w:r w:rsidR="009E7D2A">
        <w:t>Which</w:t>
      </w:r>
      <w:r>
        <w:t xml:space="preserve"> additional provisions </w:t>
      </w:r>
      <w:r w:rsidR="009E7D2A">
        <w:t xml:space="preserve">might be </w:t>
      </w:r>
      <w:r>
        <w:t>required for retail premises in shopping centres?</w:t>
      </w:r>
    </w:p>
    <w:p w14:paraId="4B6A8147" w14:textId="48A544FD" w:rsidR="00EE0CAE" w:rsidRDefault="00EE0CAE" w:rsidP="000E2B44">
      <w:pPr>
        <w:pStyle w:val="Heading2"/>
      </w:pPr>
      <w:bookmarkStart w:id="45" w:name="_Toc16078244"/>
      <w:bookmarkStart w:id="46" w:name="_Toc16078263"/>
      <w:bookmarkStart w:id="47" w:name="_Toc20841098"/>
      <w:r>
        <w:t>Dealing with complaints and disputes</w:t>
      </w:r>
      <w:bookmarkEnd w:id="45"/>
      <w:bookmarkEnd w:id="46"/>
      <w:bookmarkEnd w:id="47"/>
    </w:p>
    <w:p w14:paraId="07547A27" w14:textId="326CF299" w:rsidR="00650906" w:rsidRDefault="00650906" w:rsidP="00170D54">
      <w:r>
        <w:t>The current Code prohibits conduct that is “harsh, unjust or unconscionable” but does not provide adequate measures for seeking redress.</w:t>
      </w:r>
    </w:p>
    <w:p w14:paraId="18A392DA" w14:textId="43841DAC" w:rsidR="00B1737D" w:rsidRDefault="00B1737D" w:rsidP="00170D54">
      <w:r>
        <w:t xml:space="preserve">The 2002 Review of the Code found that </w:t>
      </w:r>
      <w:r w:rsidR="00CA311C">
        <w:t>dispute resolution mechanisms were inadequate as they mainly relied on parties attempting to resolve their own dispute. Alternatively</w:t>
      </w:r>
      <w:r w:rsidR="004A2CCF">
        <w:t>,</w:t>
      </w:r>
      <w:r w:rsidR="00CA311C">
        <w:t xml:space="preserve"> they could request the Director to investigate a matter and negotiate a resolution, but lack of necessary expertise usually means this function is outsourced to a professional mediator approved by the Director.</w:t>
      </w:r>
    </w:p>
    <w:p w14:paraId="7087DD80" w14:textId="03ECAE4D" w:rsidR="00CA311C" w:rsidRDefault="00CA311C" w:rsidP="00170D54">
      <w:r>
        <w:t>Best practice dispute resolution mechanisms involv</w:t>
      </w:r>
      <w:r w:rsidR="00AF31B7">
        <w:t>e</w:t>
      </w:r>
      <w:r w:rsidR="00F45B83">
        <w:t xml:space="preserve"> low cost, accessible</w:t>
      </w:r>
      <w:r>
        <w:t xml:space="preserve"> informal mediation, followed by a formal hearing by a disputes body, Court or private adjudicating body such as an Authorised Nominating Authority</w:t>
      </w:r>
      <w:r w:rsidR="00AF31B7">
        <w:t>. This approach</w:t>
      </w:r>
      <w:r>
        <w:t xml:space="preserve"> ha</w:t>
      </w:r>
      <w:r w:rsidR="00AF31B7">
        <w:t>s</w:t>
      </w:r>
      <w:r>
        <w:t xml:space="preserve"> been adopted elsewhere in </w:t>
      </w:r>
      <w:r w:rsidR="008B4B1A">
        <w:t>other Tasmanian</w:t>
      </w:r>
      <w:r w:rsidR="00AF31B7">
        <w:t xml:space="preserve"> legislation</w:t>
      </w:r>
      <w:r w:rsidR="001709AC">
        <w:t xml:space="preserve"> and may be appropriate here.</w:t>
      </w:r>
    </w:p>
    <w:p w14:paraId="045855D3" w14:textId="370389B8" w:rsidR="001709AC" w:rsidRDefault="001709AC" w:rsidP="00170D54">
      <w:r>
        <w:t>The Act would need to define the j</w:t>
      </w:r>
      <w:r w:rsidRPr="00993659">
        <w:t>urisdiction</w:t>
      </w:r>
      <w:r>
        <w:t xml:space="preserve"> of a disputes resolution body, </w:t>
      </w:r>
      <w:r w:rsidR="00B42FC3">
        <w:t>and the</w:t>
      </w:r>
      <w:r>
        <w:t xml:space="preserve"> types of relief, remedies or orders it could make and enforce.</w:t>
      </w:r>
    </w:p>
    <w:p w14:paraId="2E9481FE" w14:textId="3701DD14" w:rsidR="001709AC" w:rsidRDefault="001709AC" w:rsidP="00B02FCB">
      <w:pPr>
        <w:pStyle w:val="question"/>
      </w:pPr>
      <w:r>
        <w:t xml:space="preserve">Question </w:t>
      </w:r>
      <w:fldSimple w:instr=" SEQ Q \* MERGEFORMAT ">
        <w:r w:rsidR="00CB486F">
          <w:rPr>
            <w:noProof/>
          </w:rPr>
          <w:t>14</w:t>
        </w:r>
      </w:fldSimple>
      <w:r>
        <w:t xml:space="preserve">: </w:t>
      </w:r>
      <w:r>
        <w:tab/>
        <w:t>How should unconscionable conduct be defined and dealt with under the Act?</w:t>
      </w:r>
    </w:p>
    <w:p w14:paraId="036A73A2" w14:textId="3D6EBA11" w:rsidR="001709AC" w:rsidRDefault="001709AC" w:rsidP="00B02FCB">
      <w:pPr>
        <w:pStyle w:val="question"/>
      </w:pPr>
      <w:r>
        <w:t xml:space="preserve">Question </w:t>
      </w:r>
      <w:fldSimple w:instr=" SEQ Q \* MERGEFORMAT ">
        <w:r w:rsidR="00CB486F">
          <w:rPr>
            <w:noProof/>
          </w:rPr>
          <w:t>15</w:t>
        </w:r>
      </w:fldSimple>
      <w:r>
        <w:t xml:space="preserve">: </w:t>
      </w:r>
      <w:r>
        <w:tab/>
        <w:t>What model of dispute resolution would work best for retail leases?</w:t>
      </w:r>
    </w:p>
    <w:p w14:paraId="08584518" w14:textId="340EFE5B" w:rsidR="002D149A" w:rsidRDefault="002D149A" w:rsidP="000E2B44">
      <w:pPr>
        <w:pStyle w:val="Heading2"/>
      </w:pPr>
      <w:bookmarkStart w:id="48" w:name="_Toc20841099"/>
      <w:bookmarkStart w:id="49" w:name="_Toc16078245"/>
      <w:bookmarkStart w:id="50" w:name="_Toc16078264"/>
      <w:r>
        <w:t>Transition to new regulation</w:t>
      </w:r>
      <w:bookmarkEnd w:id="48"/>
    </w:p>
    <w:p w14:paraId="3E40A933" w14:textId="335207F9" w:rsidR="00AF31B7" w:rsidRPr="00AF31B7" w:rsidRDefault="00AF31B7" w:rsidP="00170D54">
      <w:r>
        <w:t>When new legislation is introduced, we need to consider how this will apply to existing leasing arrangements.</w:t>
      </w:r>
    </w:p>
    <w:p w14:paraId="3AF579F2" w14:textId="7206F724" w:rsidR="001F22C7" w:rsidRDefault="00AF31B7" w:rsidP="00F540E5">
      <w:pPr>
        <w:pStyle w:val="Bullets"/>
        <w:ind w:left="714" w:hanging="357"/>
      </w:pPr>
      <w:r>
        <w:t>For example, h</w:t>
      </w:r>
      <w:r w:rsidR="001F22C7">
        <w:t>ow long should landlords have to comply with the new legislation?</w:t>
      </w:r>
    </w:p>
    <w:p w14:paraId="2FC76121" w14:textId="50348F0F" w:rsidR="001F22C7" w:rsidRDefault="001F22C7" w:rsidP="00F540E5">
      <w:pPr>
        <w:pStyle w:val="Bullets"/>
        <w:ind w:left="714" w:hanging="357"/>
      </w:pPr>
      <w:r>
        <w:t>Should all leases comply from the time the new Act comes into force, or should it only apply to new leases?</w:t>
      </w:r>
    </w:p>
    <w:p w14:paraId="0B610B78" w14:textId="07431514" w:rsidR="001F22C7" w:rsidRDefault="001F22C7" w:rsidP="00F540E5">
      <w:pPr>
        <w:pStyle w:val="Bullets"/>
        <w:ind w:left="714" w:hanging="357"/>
      </w:pPr>
      <w:r>
        <w:t>Should existing leases be updated to comply when they come up for renewal or termination?</w:t>
      </w:r>
    </w:p>
    <w:p w14:paraId="338C4E0C" w14:textId="7BFD7146" w:rsidR="001F22C7" w:rsidRDefault="001F22C7" w:rsidP="008B4B1A">
      <w:pPr>
        <w:spacing w:before="120"/>
      </w:pPr>
      <w:r>
        <w:t>This would provide a five-year transition and spread out any administrative overhead.</w:t>
      </w:r>
    </w:p>
    <w:p w14:paraId="44EF9798" w14:textId="2239510C" w:rsidR="009C6B91" w:rsidRPr="001F22C7" w:rsidRDefault="009C6B91" w:rsidP="00170D54">
      <w:r>
        <w:t>Should dispute resolution provisions be available to all parties, regardless of when the lease was signed?</w:t>
      </w:r>
    </w:p>
    <w:p w14:paraId="2EEB948A" w14:textId="7AD4BA12" w:rsidR="001F22C7" w:rsidRDefault="001F22C7" w:rsidP="00B02FCB">
      <w:pPr>
        <w:pStyle w:val="question"/>
      </w:pPr>
      <w:r>
        <w:t xml:space="preserve">Question </w:t>
      </w:r>
      <w:fldSimple w:instr=" SEQ Q \* MERGEFORMAT ">
        <w:r w:rsidR="00CB486F">
          <w:rPr>
            <w:noProof/>
          </w:rPr>
          <w:t>16</w:t>
        </w:r>
      </w:fldSimple>
      <w:r>
        <w:t xml:space="preserve">: </w:t>
      </w:r>
      <w:r>
        <w:tab/>
        <w:t>How should the new Act be applied</w:t>
      </w:r>
      <w:r w:rsidR="00750493">
        <w:t xml:space="preserve"> to ensure all leases comply</w:t>
      </w:r>
      <w:r>
        <w:t>?</w:t>
      </w:r>
    </w:p>
    <w:p w14:paraId="63DF64D4" w14:textId="05D9EB67" w:rsidR="001965D3" w:rsidRDefault="001965D3" w:rsidP="000E2B44">
      <w:pPr>
        <w:pStyle w:val="Heading2"/>
      </w:pPr>
      <w:bookmarkStart w:id="51" w:name="_Toc20841100"/>
      <w:r>
        <w:lastRenderedPageBreak/>
        <w:t>Powers of the Director of Consumer Affairs and Fair Trading</w:t>
      </w:r>
      <w:bookmarkEnd w:id="49"/>
      <w:bookmarkEnd w:id="50"/>
      <w:bookmarkEnd w:id="51"/>
    </w:p>
    <w:p w14:paraId="79689BC1" w14:textId="3C2C513B" w:rsidR="00AD44F0" w:rsidRDefault="00AD44F0" w:rsidP="00170D54">
      <w:r>
        <w:t xml:space="preserve">In order to make the new Act flexible enough to deal with changing circumstances, it is </w:t>
      </w:r>
      <w:r w:rsidR="007B1DD3">
        <w:t>common practice</w:t>
      </w:r>
      <w:r>
        <w:t xml:space="preserve"> to give the Director </w:t>
      </w:r>
      <w:r w:rsidR="00336885">
        <w:t xml:space="preserve">of Consumer Affairs and Fair Trading </w:t>
      </w:r>
      <w:r>
        <w:t>the power to issue legally binding determinations on matters such as:</w:t>
      </w:r>
    </w:p>
    <w:p w14:paraId="72B55DCC" w14:textId="6C86384D" w:rsidR="00AD44F0" w:rsidRDefault="00AD44F0" w:rsidP="00916EC6">
      <w:pPr>
        <w:pStyle w:val="Bullets"/>
        <w:ind w:left="714" w:hanging="357"/>
      </w:pPr>
      <w:r>
        <w:t>Wh</w:t>
      </w:r>
      <w:r w:rsidR="00336885">
        <w:t>ich</w:t>
      </w:r>
      <w:r>
        <w:t xml:space="preserve"> documents must be provided during lease negotiations</w:t>
      </w:r>
      <w:r w:rsidR="00903D38">
        <w:t>;</w:t>
      </w:r>
    </w:p>
    <w:p w14:paraId="0892F815" w14:textId="7658E3E8" w:rsidR="00AD44F0" w:rsidRDefault="00AD44F0" w:rsidP="00916EC6">
      <w:pPr>
        <w:pStyle w:val="Bullets"/>
        <w:ind w:left="714" w:hanging="357"/>
      </w:pPr>
      <w:r>
        <w:t>What a lease must contain</w:t>
      </w:r>
      <w:r w:rsidR="00903D38">
        <w:t>;</w:t>
      </w:r>
    </w:p>
    <w:p w14:paraId="455374FC" w14:textId="588B1419" w:rsidR="00AD44F0" w:rsidRPr="00AD44F0" w:rsidRDefault="00AD44F0" w:rsidP="00B02FCB">
      <w:pPr>
        <w:pStyle w:val="Bullets"/>
        <w:spacing w:after="120"/>
        <w:ind w:left="714" w:hanging="357"/>
      </w:pPr>
      <w:r>
        <w:t>The form and content of a Disclosure Statement</w:t>
      </w:r>
      <w:r w:rsidR="00903D38">
        <w:t>;</w:t>
      </w:r>
    </w:p>
    <w:p w14:paraId="240427D9" w14:textId="58F54131" w:rsidR="0091158B" w:rsidRDefault="007B1DD3" w:rsidP="00170D54">
      <w:r>
        <w:t>Such powers are usually limited by requiring consultation with appropriate industry bodies and other stakeholders before any changes are made.</w:t>
      </w:r>
    </w:p>
    <w:p w14:paraId="53D2E09F" w14:textId="1375DA62" w:rsidR="007B1DD3" w:rsidRDefault="007B1DD3" w:rsidP="00170D54">
      <w:r>
        <w:t>This allows the legal framework to be adjusted if circumstances change, without requiring a change to the Act, which can take up to 18 months or longer.</w:t>
      </w:r>
    </w:p>
    <w:p w14:paraId="023E1491" w14:textId="059321F3" w:rsidR="007B1DD3" w:rsidRPr="0091158B" w:rsidRDefault="007B1DD3" w:rsidP="00B02FCB">
      <w:pPr>
        <w:pStyle w:val="question"/>
      </w:pPr>
      <w:r>
        <w:t xml:space="preserve">Question </w:t>
      </w:r>
      <w:fldSimple w:instr=" SEQ Q \* MERGEFORMAT ">
        <w:r w:rsidR="00CB486F">
          <w:rPr>
            <w:noProof/>
          </w:rPr>
          <w:t>17</w:t>
        </w:r>
      </w:fldSimple>
      <w:r>
        <w:t>:</w:t>
      </w:r>
      <w:r>
        <w:tab/>
      </w:r>
      <w:r w:rsidR="002F23D9">
        <w:t>Which areas of retail lease arrangements would be appropriate for the Director of Consumer Affairs and Fair Trading to manage through legally binding determinations?</w:t>
      </w:r>
    </w:p>
    <w:p w14:paraId="0365ABEC" w14:textId="6A627BDF" w:rsidR="00EE0CAE" w:rsidRDefault="00EE0CAE" w:rsidP="000E2B44">
      <w:pPr>
        <w:pStyle w:val="Heading2"/>
      </w:pPr>
      <w:bookmarkStart w:id="52" w:name="_Toc16078246"/>
      <w:bookmarkStart w:id="53" w:name="_Toc16078265"/>
      <w:bookmarkStart w:id="54" w:name="_Toc20841101"/>
      <w:r>
        <w:t>Other considerations</w:t>
      </w:r>
      <w:bookmarkEnd w:id="52"/>
      <w:bookmarkEnd w:id="53"/>
      <w:bookmarkEnd w:id="54"/>
    </w:p>
    <w:p w14:paraId="5F370AA1" w14:textId="0497E17F" w:rsidR="0069725B" w:rsidRPr="0069725B" w:rsidRDefault="00AA579A" w:rsidP="00170D54">
      <w:r>
        <w:t>Some interstate legislation prohibits lease provisions in these areas</w:t>
      </w:r>
      <w:r w:rsidR="0069725B">
        <w:t>:</w:t>
      </w:r>
    </w:p>
    <w:p w14:paraId="45BB44C7" w14:textId="383C39B8" w:rsidR="00EE0CAE" w:rsidRDefault="00EE0CAE" w:rsidP="00916EC6">
      <w:pPr>
        <w:pStyle w:val="Bullets"/>
        <w:ind w:left="714" w:hanging="357"/>
      </w:pPr>
      <w:r>
        <w:t>Geog</w:t>
      </w:r>
      <w:r w:rsidR="00AA579A">
        <w:t>raphical restrictions which prevent or restrict the tenant from carrying on business outside the retail shopping centre either during their lease or after its expiry</w:t>
      </w:r>
      <w:r w:rsidR="00903D38">
        <w:t>;</w:t>
      </w:r>
    </w:p>
    <w:p w14:paraId="197BF0F2" w14:textId="0272E809" w:rsidR="00EE0CAE" w:rsidRDefault="00EE0CAE" w:rsidP="00916EC6">
      <w:pPr>
        <w:pStyle w:val="Bullets"/>
        <w:ind w:left="714" w:hanging="357"/>
      </w:pPr>
      <w:r>
        <w:t>Restriction</w:t>
      </w:r>
      <w:r w:rsidR="00AA579A">
        <w:t>s</w:t>
      </w:r>
      <w:r>
        <w:t xml:space="preserve"> on who the tenant employs</w:t>
      </w:r>
      <w:r w:rsidR="00AA579A">
        <w:t xml:space="preserve"> or engages</w:t>
      </w:r>
      <w:r w:rsidR="00903D38">
        <w:t>;</w:t>
      </w:r>
    </w:p>
    <w:p w14:paraId="64F34E6B" w14:textId="26573742" w:rsidR="00EE0CAE" w:rsidRDefault="00EE0CAE" w:rsidP="00AA579A">
      <w:pPr>
        <w:pStyle w:val="Bullets"/>
        <w:spacing w:after="120"/>
        <w:ind w:left="714" w:hanging="357"/>
      </w:pPr>
      <w:r>
        <w:t xml:space="preserve">Restrictions on joining a tenant </w:t>
      </w:r>
      <w:r w:rsidR="00F540E5">
        <w:t>representative body</w:t>
      </w:r>
      <w:r w:rsidR="00903D38">
        <w:t>.</w:t>
      </w:r>
    </w:p>
    <w:p w14:paraId="14C6B66F" w14:textId="676D360C" w:rsidR="00AA579A" w:rsidRDefault="00B02FCB" w:rsidP="00B02FCB">
      <w:pPr>
        <w:pStyle w:val="question"/>
      </w:pPr>
      <w:r>
        <w:t xml:space="preserve">Question </w:t>
      </w:r>
      <w:r w:rsidR="008E420F">
        <w:fldChar w:fldCharType="begin"/>
      </w:r>
      <w:r w:rsidR="008E420F">
        <w:instrText xml:space="preserve"> SEQ Q \* MERGEFORMAT </w:instrText>
      </w:r>
      <w:r w:rsidR="008E420F">
        <w:fldChar w:fldCharType="separate"/>
      </w:r>
      <w:r w:rsidR="00CB486F">
        <w:rPr>
          <w:noProof/>
        </w:rPr>
        <w:t>18</w:t>
      </w:r>
      <w:r w:rsidR="008E420F">
        <w:rPr>
          <w:noProof/>
        </w:rPr>
        <w:fldChar w:fldCharType="end"/>
      </w:r>
      <w:r>
        <w:t>:</w:t>
      </w:r>
      <w:r>
        <w:tab/>
      </w:r>
      <w:r w:rsidR="00AA579A">
        <w:t>Should we include such prohibitions in Tasmanian legislation?</w:t>
      </w:r>
    </w:p>
    <w:p w14:paraId="3D412ED0" w14:textId="77777777" w:rsidR="00170D54" w:rsidRPr="00B02FCB" w:rsidRDefault="00170D54">
      <w:pPr>
        <w:spacing w:after="0" w:line="240" w:lineRule="auto"/>
      </w:pPr>
      <w:bookmarkStart w:id="55" w:name="_Toc16078247"/>
      <w:bookmarkStart w:id="56" w:name="_Toc16078266"/>
      <w:r>
        <w:br w:type="page"/>
      </w:r>
    </w:p>
    <w:p w14:paraId="3C15F574" w14:textId="35765E33" w:rsidR="002749FA" w:rsidRDefault="002749FA" w:rsidP="000E2B44">
      <w:pPr>
        <w:pStyle w:val="Heading1"/>
      </w:pPr>
      <w:bookmarkStart w:id="57" w:name="_Toc20841102"/>
      <w:r>
        <w:lastRenderedPageBreak/>
        <w:t>What happens next</w:t>
      </w:r>
      <w:bookmarkEnd w:id="55"/>
      <w:bookmarkEnd w:id="56"/>
      <w:r w:rsidR="00833F56">
        <w:t>?</w:t>
      </w:r>
      <w:bookmarkEnd w:id="57"/>
    </w:p>
    <w:p w14:paraId="1F8AC5F6" w14:textId="25BCC1C5" w:rsidR="002749FA" w:rsidRDefault="00FB6093" w:rsidP="00170D54">
      <w:r>
        <w:t>Following the r</w:t>
      </w:r>
      <w:r w:rsidR="002749FA">
        <w:t>elease of this Discussion Paper</w:t>
      </w:r>
      <w:r>
        <w:t xml:space="preserve">, submissions will be </w:t>
      </w:r>
      <w:r w:rsidR="007B0502">
        <w:t>received</w:t>
      </w:r>
      <w:r>
        <w:t xml:space="preserve"> up until </w:t>
      </w:r>
      <w:r w:rsidR="00E9483A">
        <w:t xml:space="preserve">Monday </w:t>
      </w:r>
      <w:r>
        <w:t xml:space="preserve">the </w:t>
      </w:r>
      <w:r w:rsidR="00E9483A">
        <w:t>11</w:t>
      </w:r>
      <w:r w:rsidR="004B329E" w:rsidRPr="00022781">
        <w:rPr>
          <w:vertAlign w:val="superscript"/>
        </w:rPr>
        <w:t>th</w:t>
      </w:r>
      <w:r w:rsidR="004B329E">
        <w:t xml:space="preserve"> </w:t>
      </w:r>
      <w:r>
        <w:t xml:space="preserve">of </w:t>
      </w:r>
      <w:r w:rsidR="00E9483A">
        <w:t>November</w:t>
      </w:r>
      <w:r>
        <w:t xml:space="preserve"> 2019.</w:t>
      </w:r>
    </w:p>
    <w:p w14:paraId="5DC0F9ED" w14:textId="4DE954B5" w:rsidR="00FB6093" w:rsidRDefault="00FB6093" w:rsidP="00170D54">
      <w:r>
        <w:t>We will use your input to develop a draft Retail Lease Bill which we will make available for comment.</w:t>
      </w:r>
    </w:p>
    <w:p w14:paraId="669A0E25" w14:textId="7DB309BC" w:rsidR="002749FA" w:rsidRDefault="00FB6093" w:rsidP="00170D54">
      <w:r>
        <w:t>This will allow us to finalise the Bill for introduction</w:t>
      </w:r>
      <w:r w:rsidR="002749FA">
        <w:t xml:space="preserve"> into Tasmanian Parliament</w:t>
      </w:r>
      <w:r>
        <w:t>.</w:t>
      </w:r>
    </w:p>
    <w:p w14:paraId="5DE27532" w14:textId="7AEFA8B4" w:rsidR="00FB6093" w:rsidRDefault="00FB6093" w:rsidP="00170D54">
      <w:r>
        <w:t xml:space="preserve">If the Bill is passed by Parliament, a date will be set for commencement of the new Retail Leases Act, noting the new legislation </w:t>
      </w:r>
      <w:r w:rsidR="008B7071">
        <w:t xml:space="preserve">should </w:t>
      </w:r>
      <w:r>
        <w:t>be in place before the Code expires</w:t>
      </w:r>
      <w:r w:rsidR="008B7071">
        <w:t>.</w:t>
      </w:r>
    </w:p>
    <w:p w14:paraId="5E78F8D1" w14:textId="727E3AB1" w:rsidR="00110AD3" w:rsidRDefault="00110AD3" w:rsidP="00170D54">
      <w:r w:rsidRPr="00170D54">
        <w:t>Implementation will include drafting any required Regulations and Determinations, and conducting a retail</w:t>
      </w:r>
      <w:r>
        <w:t xml:space="preserve"> industry awareness and education campaign.</w:t>
      </w:r>
    </w:p>
    <w:p w14:paraId="6F9E84CB" w14:textId="4C66FB29" w:rsidR="00D254F5" w:rsidRDefault="00D254F5" w:rsidP="00170D54"/>
    <w:p w14:paraId="17D3DEDD" w14:textId="3D2FDA2B" w:rsidR="00D254F5" w:rsidRDefault="00D254F5" w:rsidP="00170D54"/>
    <w:p w14:paraId="23DBD60F" w14:textId="106B322E" w:rsidR="00D254F5" w:rsidRDefault="00D254F5" w:rsidP="00170D54"/>
    <w:p w14:paraId="7B70C0D6" w14:textId="6948E2E3" w:rsidR="00D254F5" w:rsidRDefault="00D254F5" w:rsidP="00170D54"/>
    <w:p w14:paraId="2C35033F" w14:textId="4702C2BA" w:rsidR="00D254F5" w:rsidRDefault="00D254F5" w:rsidP="00170D54"/>
    <w:p w14:paraId="4FF53C40" w14:textId="46D93C94" w:rsidR="00D254F5" w:rsidRDefault="00D254F5" w:rsidP="00170D54"/>
    <w:p w14:paraId="16F5CBF7" w14:textId="32A48105" w:rsidR="00D254F5" w:rsidRDefault="00D254F5" w:rsidP="00170D54"/>
    <w:p w14:paraId="13883889" w14:textId="77777777" w:rsidR="00D254F5" w:rsidRDefault="00D254F5" w:rsidP="00170D54"/>
    <w:p w14:paraId="21DF445D" w14:textId="77777777" w:rsidR="006F0DA0" w:rsidRDefault="006F0DA0" w:rsidP="00170D54">
      <w:pPr>
        <w:rPr>
          <w:rStyle w:val="FootnoteTextChar"/>
          <w:rFonts w:asciiTheme="majorHAnsi" w:hAnsiTheme="majorHAnsi"/>
          <w:sz w:val="24"/>
          <w:szCs w:val="24"/>
        </w:rPr>
      </w:pPr>
    </w:p>
    <w:p w14:paraId="7E3AFA97" w14:textId="2471192B" w:rsidR="00323E3C" w:rsidRDefault="00323E3C" w:rsidP="00170D54">
      <w:pPr>
        <w:rPr>
          <w:rStyle w:val="FootnoteTextChar"/>
          <w:rFonts w:asciiTheme="majorHAnsi" w:hAnsiTheme="majorHAnsi"/>
          <w:sz w:val="24"/>
          <w:szCs w:val="24"/>
        </w:rPr>
        <w:sectPr w:rsidR="00323E3C" w:rsidSect="00882FD1">
          <w:headerReference w:type="first" r:id="rId16"/>
          <w:pgSz w:w="11900" w:h="16840"/>
          <w:pgMar w:top="1134" w:right="1134" w:bottom="1701" w:left="1134" w:header="709" w:footer="424" w:gutter="0"/>
          <w:cols w:space="708"/>
          <w:docGrid w:linePitch="360"/>
        </w:sectPr>
      </w:pPr>
    </w:p>
    <w:p w14:paraId="39971A04" w14:textId="390B416E" w:rsidR="005F5506" w:rsidRDefault="008A7A4E" w:rsidP="00AF0619">
      <w:pPr>
        <w:spacing w:before="10640"/>
        <w:rPr>
          <w:rStyle w:val="FootnoteTextChar"/>
          <w:rFonts w:asciiTheme="majorHAnsi" w:hAnsiTheme="majorHAnsi"/>
          <w:sz w:val="24"/>
          <w:szCs w:val="24"/>
        </w:rPr>
      </w:pPr>
      <w:r>
        <w:rPr>
          <w:noProof/>
          <w:lang w:eastAsia="en-AU"/>
        </w:rPr>
        <w:lastRenderedPageBreak/>
        <w:drawing>
          <wp:inline distT="0" distB="0" distL="0" distR="0" wp14:anchorId="378C9855" wp14:editId="144579BB">
            <wp:extent cx="990000" cy="914432"/>
            <wp:effectExtent l="0" t="0" r="635" b="0"/>
            <wp:docPr id="10" name="Picture 10"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sGov_CMYK_vert.png"/>
                    <pic:cNvPicPr/>
                  </pic:nvPicPr>
                  <pic:blipFill>
                    <a:blip r:embed="rId17">
                      <a:extLst>
                        <a:ext uri="{28A0092B-C50C-407E-A947-70E740481C1C}">
                          <a14:useLocalDpi xmlns:a14="http://schemas.microsoft.com/office/drawing/2010/main" val="0"/>
                        </a:ext>
                      </a:extLst>
                    </a:blip>
                    <a:stretch>
                      <a:fillRect/>
                    </a:stretch>
                  </pic:blipFill>
                  <pic:spPr>
                    <a:xfrm>
                      <a:off x="0" y="0"/>
                      <a:ext cx="990000" cy="914432"/>
                    </a:xfrm>
                    <a:prstGeom prst="rect">
                      <a:avLst/>
                    </a:prstGeom>
                  </pic:spPr>
                </pic:pic>
              </a:graphicData>
            </a:graphic>
          </wp:inline>
        </w:drawing>
      </w:r>
    </w:p>
    <w:p w14:paraId="6BEEAB7D" w14:textId="059E5C46" w:rsidR="00323E3C" w:rsidRPr="005F5506" w:rsidRDefault="00FA5553" w:rsidP="00170D54">
      <w:r>
        <w:rPr>
          <w:rFonts w:cs="GillSansMTPro-Bold"/>
          <w:b/>
          <w:bCs/>
        </w:rPr>
        <w:t>Department of Justice</w:t>
      </w:r>
      <w:r w:rsidR="00323E3C" w:rsidRPr="005F5506">
        <w:br/>
      </w:r>
      <w:r w:rsidR="00CE63C4">
        <w:t>Consumer, Building and Occupational Services</w:t>
      </w:r>
    </w:p>
    <w:p w14:paraId="3E35DA50" w14:textId="1514A735" w:rsidR="00323E3C" w:rsidRPr="006F0DA0" w:rsidRDefault="00323E3C" w:rsidP="00170D54">
      <w:pPr>
        <w:rPr>
          <w:vertAlign w:val="subscript"/>
        </w:rPr>
      </w:pPr>
      <w:r w:rsidRPr="005F5506">
        <w:rPr>
          <w:rFonts w:cs="GillSansMTPro-Bold"/>
          <w:b/>
          <w:bCs/>
        </w:rPr>
        <w:t>Phone:</w:t>
      </w:r>
      <w:r w:rsidR="0061323C">
        <w:rPr>
          <w:rFonts w:cs="GillSansMTPro-Bold"/>
          <w:b/>
          <w:bCs/>
        </w:rPr>
        <w:t xml:space="preserve"> </w:t>
      </w:r>
      <w:r w:rsidR="00CE63C4">
        <w:t>1300 65 44 99</w:t>
      </w:r>
    </w:p>
    <w:p w14:paraId="33050B4D" w14:textId="4AD675C3" w:rsidR="00323E3C" w:rsidRPr="005F5506" w:rsidRDefault="00323E3C" w:rsidP="00170D54">
      <w:r w:rsidRPr="005F5506">
        <w:rPr>
          <w:rFonts w:cs="GillSansMTPro-Bold"/>
          <w:b/>
          <w:bCs/>
        </w:rPr>
        <w:t>Email:</w:t>
      </w:r>
      <w:r w:rsidR="0014149D">
        <w:rPr>
          <w:rFonts w:cs="GillSansMTPro-Bold"/>
          <w:b/>
          <w:bCs/>
        </w:rPr>
        <w:t xml:space="preserve"> </w:t>
      </w:r>
      <w:r w:rsidR="00CE63C4">
        <w:t>cbos.info@justice</w:t>
      </w:r>
      <w:r w:rsidRPr="005F5506">
        <w:t>.tas.gov.au</w:t>
      </w:r>
    </w:p>
    <w:p w14:paraId="638F5373" w14:textId="39A18513" w:rsidR="00323E3C" w:rsidRDefault="008E420F" w:rsidP="00170D54">
      <w:pPr>
        <w:rPr>
          <w:rStyle w:val="Hyperlink"/>
          <w:rFonts w:asciiTheme="majorHAnsi" w:hAnsiTheme="majorHAnsi" w:cs="GillSansMTPro-Bold"/>
          <w:b/>
          <w:bCs/>
          <w:color w:val="000000" w:themeColor="text1"/>
          <w:sz w:val="24"/>
        </w:rPr>
      </w:pPr>
      <w:hyperlink r:id="rId18" w:history="1">
        <w:r w:rsidR="000D78D4" w:rsidRPr="00544D21">
          <w:rPr>
            <w:rStyle w:val="Hyperlink"/>
            <w:rFonts w:asciiTheme="majorHAnsi" w:hAnsiTheme="majorHAnsi" w:cs="GillSansMTPro-Bold"/>
            <w:b/>
            <w:bCs/>
            <w:sz w:val="24"/>
          </w:rPr>
          <w:t>www.cbos.tas.gov.au</w:t>
        </w:r>
      </w:hyperlink>
    </w:p>
    <w:sectPr w:rsidR="00323E3C" w:rsidSect="00323E3C">
      <w:headerReference w:type="even" r:id="rId19"/>
      <w:headerReference w:type="default" r:id="rId20"/>
      <w:footerReference w:type="even" r:id="rId21"/>
      <w:footerReference w:type="default" r:id="rId22"/>
      <w:headerReference w:type="first" r:id="rId23"/>
      <w:type w:val="evenPage"/>
      <w:pgSz w:w="11900" w:h="16840"/>
      <w:pgMar w:top="1134" w:right="1134" w:bottom="567" w:left="1134" w:header="709" w:footer="8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27E60" w14:textId="77777777" w:rsidR="008E420F" w:rsidRDefault="008E420F" w:rsidP="00170D54">
      <w:r>
        <w:separator/>
      </w:r>
    </w:p>
  </w:endnote>
  <w:endnote w:type="continuationSeparator" w:id="0">
    <w:p w14:paraId="69AF96BA" w14:textId="77777777" w:rsidR="008E420F" w:rsidRDefault="008E420F" w:rsidP="0017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Arial"/>
    <w:panose1 w:val="00000000000000000000"/>
    <w:charset w:val="00"/>
    <w:family w:val="roman"/>
    <w:notTrueType/>
    <w:pitch w:val="default"/>
  </w:font>
  <w:font w:name="GillSansMTPro-Medium">
    <w:altName w:val="Calibri"/>
    <w:charset w:val="4D"/>
    <w:family w:val="auto"/>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GillSansMT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166C" w14:textId="051627D5" w:rsidR="000A3CD6" w:rsidRDefault="000A3CD6" w:rsidP="00170D54">
    <w:pPr>
      <w:pStyle w:val="Footer"/>
      <w:rPr>
        <w:rStyle w:val="PageNumber"/>
      </w:rPr>
    </w:pPr>
  </w:p>
  <w:sdt>
    <w:sdtPr>
      <w:rPr>
        <w:rStyle w:val="PageNumber"/>
      </w:rPr>
      <w:id w:val="-235092161"/>
      <w:docPartObj>
        <w:docPartGallery w:val="Page Numbers (Bottom of Page)"/>
        <w:docPartUnique/>
      </w:docPartObj>
    </w:sdtPr>
    <w:sdtEndPr>
      <w:rPr>
        <w:rStyle w:val="PageNumber"/>
      </w:rPr>
    </w:sdtEndPr>
    <w:sdtContent>
      <w:p w14:paraId="5A758BCD" w14:textId="7269A4CD" w:rsidR="00170D54" w:rsidRDefault="00170D54" w:rsidP="00B75A3A">
        <w:pPr>
          <w:pStyle w:val="Footer"/>
          <w:jc w:val="left"/>
          <w:rPr>
            <w:rStyle w:val="PageNumber"/>
            <w:rFonts w:cs="Times New Roman (Body CS)"/>
            <w:szCs w:val="24"/>
          </w:rPr>
        </w:pPr>
        <w:r>
          <w:rPr>
            <w:rStyle w:val="PageNumber"/>
          </w:rPr>
          <w:fldChar w:fldCharType="begin"/>
        </w:r>
        <w:r>
          <w:rPr>
            <w:rStyle w:val="PageNumber"/>
          </w:rPr>
          <w:instrText xml:space="preserve"> PAGE </w:instrText>
        </w:r>
        <w:r>
          <w:rPr>
            <w:rStyle w:val="PageNumber"/>
          </w:rPr>
          <w:fldChar w:fldCharType="separate"/>
        </w:r>
        <w:r w:rsidR="00013F03">
          <w:rPr>
            <w:rStyle w:val="PageNumber"/>
            <w:noProof/>
          </w:rPr>
          <w:t>2</w:t>
        </w:r>
        <w:r>
          <w:rPr>
            <w:rStyle w:val="PageNumber"/>
          </w:rPr>
          <w:fldChar w:fldCharType="end"/>
        </w:r>
      </w:p>
    </w:sdtContent>
  </w:sdt>
  <w:p w14:paraId="54F290A7" w14:textId="6A81264A" w:rsidR="000A3CD6" w:rsidRPr="006F0DA0" w:rsidRDefault="00170D54" w:rsidP="00170D54">
    <w:pPr>
      <w:pStyle w:val="Footer"/>
    </w:pPr>
    <w:r>
      <w:rPr>
        <w:b/>
      </w:rPr>
      <w:t xml:space="preserve"> </w:t>
    </w:r>
    <w:r w:rsidR="000A3CD6">
      <w:rPr>
        <w:b/>
      </w:rPr>
      <w:fldChar w:fldCharType="begin"/>
    </w:r>
    <w:r w:rsidR="000A3CD6">
      <w:rPr>
        <w:b/>
      </w:rPr>
      <w:instrText xml:space="preserve"> TITLE   \* MERGEFORMAT </w:instrText>
    </w:r>
    <w:r w:rsidR="000A3CD6">
      <w:rPr>
        <w:b/>
      </w:rPr>
      <w:fldChar w:fldCharType="separate"/>
    </w:r>
    <w:r w:rsidR="000A3CD6">
      <w:rPr>
        <w:b/>
      </w:rPr>
      <w:t>Retail Leases in Tasmania</w:t>
    </w:r>
    <w:r w:rsidR="000A3CD6">
      <w:rPr>
        <w:b/>
      </w:rPr>
      <w:fldChar w:fldCharType="end"/>
    </w:r>
    <w:r w:rsidR="000A3CD6">
      <w:t xml:space="preserve">  </w:t>
    </w:r>
    <w:fldSimple w:instr=" DOCPROPERTY  Category  \* MERGEFORMAT ">
      <w:r w:rsidR="000A3CD6">
        <w:t>Discussion Paper</w:t>
      </w:r>
    </w:fldSimple>
    <w:r w:rsidR="000A3CD6">
      <w:rPr>
        <w:noProof/>
      </w:rPr>
      <w:t xml:space="preserve"> </w:t>
    </w:r>
    <w:r w:rsidR="000A3CD6">
      <w:rPr>
        <w:noProof/>
        <w:lang w:eastAsia="en-AU"/>
      </w:rPr>
      <w:drawing>
        <wp:anchor distT="0" distB="0" distL="114300" distR="114300" simplePos="0" relativeHeight="251658752" behindDoc="1" locked="1" layoutInCell="1" allowOverlap="1" wp14:anchorId="1733DB57" wp14:editId="117170EC">
          <wp:simplePos x="0" y="0"/>
          <wp:positionH relativeFrom="page">
            <wp:align>left</wp:align>
          </wp:positionH>
          <wp:positionV relativeFrom="page">
            <wp:align>bottom</wp:align>
          </wp:positionV>
          <wp:extent cx="1371600" cy="873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left.png"/>
                  <pic:cNvPicPr/>
                </pic:nvPicPr>
                <pic:blipFill>
                  <a:blip r:embed="rId1">
                    <a:extLst>
                      <a:ext uri="{28A0092B-C50C-407E-A947-70E740481C1C}">
                        <a14:useLocalDpi xmlns:a14="http://schemas.microsoft.com/office/drawing/2010/main" val="0"/>
                      </a:ext>
                    </a:extLst>
                  </a:blip>
                  <a:stretch>
                    <a:fillRect/>
                  </a:stretch>
                </pic:blipFill>
                <pic:spPr>
                  <a:xfrm>
                    <a:off x="0" y="0"/>
                    <a:ext cx="1371627" cy="873905"/>
                  </a:xfrm>
                  <a:prstGeom prst="rect">
                    <a:avLst/>
                  </a:prstGeom>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7629785"/>
      <w:docPartObj>
        <w:docPartGallery w:val="Page Numbers (Bottom of Page)"/>
        <w:docPartUnique/>
      </w:docPartObj>
    </w:sdtPr>
    <w:sdtEndPr>
      <w:rPr>
        <w:rStyle w:val="PageNumber"/>
      </w:rPr>
    </w:sdtEndPr>
    <w:sdtContent>
      <w:p w14:paraId="1984FD3D" w14:textId="2389FB30" w:rsidR="000A3CD6" w:rsidRDefault="000A3CD6" w:rsidP="00170D5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013F03">
          <w:rPr>
            <w:rStyle w:val="PageNumber"/>
            <w:noProof/>
          </w:rPr>
          <w:t>3</w:t>
        </w:r>
        <w:r>
          <w:rPr>
            <w:rStyle w:val="PageNumber"/>
          </w:rPr>
          <w:fldChar w:fldCharType="end"/>
        </w:r>
      </w:p>
    </w:sdtContent>
  </w:sdt>
  <w:p w14:paraId="1DF3DB03" w14:textId="566E3586" w:rsidR="000A3CD6" w:rsidRPr="006F0DA0" w:rsidRDefault="000A3CD6" w:rsidP="00170D54">
    <w:pPr>
      <w:pStyle w:val="Footer"/>
    </w:pPr>
    <w:r>
      <w:rPr>
        <w:b/>
      </w:rPr>
      <w:fldChar w:fldCharType="begin"/>
    </w:r>
    <w:r>
      <w:rPr>
        <w:b/>
      </w:rPr>
      <w:instrText xml:space="preserve"> TITLE   \* MERGEFORMAT </w:instrText>
    </w:r>
    <w:r>
      <w:rPr>
        <w:b/>
      </w:rPr>
      <w:fldChar w:fldCharType="separate"/>
    </w:r>
    <w:r>
      <w:rPr>
        <w:b/>
      </w:rPr>
      <w:t>Retail Leases in Tasmania</w:t>
    </w:r>
    <w:r>
      <w:rPr>
        <w:b/>
      </w:rPr>
      <w:fldChar w:fldCharType="end"/>
    </w:r>
    <w:r>
      <w:t xml:space="preserve">  </w:t>
    </w:r>
    <w:fldSimple w:instr=" DOCPROPERTY  Category  \* MERGEFORMAT ">
      <w:r>
        <w:t>Discussion Paper</w:t>
      </w:r>
    </w:fldSimple>
    <w:r>
      <w:rPr>
        <w:noProof/>
      </w:rPr>
      <w:t xml:space="preserve"> </w:t>
    </w:r>
    <w:r>
      <w:rPr>
        <w:noProof/>
        <w:lang w:eastAsia="en-AU"/>
      </w:rPr>
      <w:drawing>
        <wp:anchor distT="0" distB="0" distL="114300" distR="114300" simplePos="0" relativeHeight="251655680" behindDoc="1" locked="1" layoutInCell="1" allowOverlap="1" wp14:anchorId="2F25D15E" wp14:editId="77F6965B">
          <wp:simplePos x="0" y="0"/>
          <wp:positionH relativeFrom="page">
            <wp:align>right</wp:align>
          </wp:positionH>
          <wp:positionV relativeFrom="page">
            <wp:align>bottom</wp:align>
          </wp:positionV>
          <wp:extent cx="1371600" cy="892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left.png"/>
                  <pic:cNvPicPr/>
                </pic:nvPicPr>
                <pic:blipFill>
                  <a:blip r:embed="rId1">
                    <a:extLst>
                      <a:ext uri="{28A0092B-C50C-407E-A947-70E740481C1C}">
                        <a14:useLocalDpi xmlns:a14="http://schemas.microsoft.com/office/drawing/2010/main" val="0"/>
                      </a:ext>
                    </a:extLst>
                  </a:blip>
                  <a:stretch>
                    <a:fillRect/>
                  </a:stretch>
                </pic:blipFill>
                <pic:spPr>
                  <a:xfrm>
                    <a:off x="0" y="0"/>
                    <a:ext cx="1371627" cy="892739"/>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605E" w14:textId="1688A79E" w:rsidR="000A3CD6" w:rsidRDefault="000A3CD6" w:rsidP="00170D54">
    <w:pPr>
      <w:pStyle w:val="TasGovDepartmentName"/>
    </w:pPr>
    <w:r>
      <w:t>Consumer, Building and Occupational Services</w:t>
    </w:r>
  </w:p>
  <w:p w14:paraId="2A1D6250" w14:textId="2443D00C" w:rsidR="000A3CD6" w:rsidRDefault="000A3CD6" w:rsidP="00170D54">
    <w:pPr>
      <w:pStyle w:val="TasGovDepartmentName"/>
    </w:pPr>
    <w:r>
      <w:t>Department of Justice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DEF53" w14:textId="70297620" w:rsidR="000A3CD6" w:rsidRPr="006F0DA0" w:rsidRDefault="000A3CD6" w:rsidP="00170D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4EF4F" w14:textId="77777777" w:rsidR="000A3CD6" w:rsidRDefault="000A3CD6" w:rsidP="00170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FE8E" w14:textId="77777777" w:rsidR="008E420F" w:rsidRDefault="008E420F" w:rsidP="00170D54">
      <w:r>
        <w:separator/>
      </w:r>
    </w:p>
  </w:footnote>
  <w:footnote w:type="continuationSeparator" w:id="0">
    <w:p w14:paraId="7932FE4C" w14:textId="77777777" w:rsidR="008E420F" w:rsidRDefault="008E420F" w:rsidP="0017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35C9" w14:textId="0BFB81B5" w:rsidR="000A3CD6" w:rsidRDefault="000A3CD6" w:rsidP="00170D54">
    <w:pPr>
      <w:pStyle w:val="Header"/>
    </w:pPr>
    <w:r>
      <w:rPr>
        <w:noProof/>
        <w:lang w:eastAsia="en-AU"/>
      </w:rPr>
      <w:drawing>
        <wp:anchor distT="0" distB="0" distL="114300" distR="114300" simplePos="0" relativeHeight="251657728" behindDoc="1" locked="1" layoutInCell="1" allowOverlap="1" wp14:anchorId="79156C54" wp14:editId="22E2C2FC">
          <wp:simplePos x="0" y="0"/>
          <wp:positionH relativeFrom="page">
            <wp:align>left</wp:align>
          </wp:positionH>
          <wp:positionV relativeFrom="page">
            <wp:align>bottom</wp:align>
          </wp:positionV>
          <wp:extent cx="7559040" cy="43459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C CovBaseTri.png"/>
                  <pic:cNvPicPr/>
                </pic:nvPicPr>
                <pic:blipFill>
                  <a:blip r:embed="rId1">
                    <a:extLst>
                      <a:ext uri="{28A0092B-C50C-407E-A947-70E740481C1C}">
                        <a14:useLocalDpi xmlns:a14="http://schemas.microsoft.com/office/drawing/2010/main" val="0"/>
                      </a:ext>
                    </a:extLst>
                  </a:blip>
                  <a:stretch>
                    <a:fillRect/>
                  </a:stretch>
                </pic:blipFill>
                <pic:spPr>
                  <a:xfrm>
                    <a:off x="0" y="0"/>
                    <a:ext cx="7559040" cy="43459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A468" w14:textId="34D16171" w:rsidR="000A3CD6" w:rsidRDefault="000A3CD6" w:rsidP="00170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CAEA" w14:textId="78716917" w:rsidR="000A3CD6" w:rsidRDefault="000A3CD6" w:rsidP="00170D54">
    <w:pPr>
      <w:pStyle w:val="Header"/>
    </w:pPr>
    <w:r>
      <w:rPr>
        <w:noProof/>
        <w:lang w:eastAsia="en-AU"/>
      </w:rPr>
      <w:drawing>
        <wp:anchor distT="0" distB="0" distL="114300" distR="114300" simplePos="0" relativeHeight="251656704" behindDoc="1" locked="1" layoutInCell="1" allowOverlap="1" wp14:anchorId="1B07415E" wp14:editId="2B077D64">
          <wp:simplePos x="0" y="0"/>
          <wp:positionH relativeFrom="page">
            <wp:align>left</wp:align>
          </wp:positionH>
          <wp:positionV relativeFrom="page">
            <wp:align>top</wp:align>
          </wp:positionV>
          <wp:extent cx="7559040" cy="2529840"/>
          <wp:effectExtent l="0" t="0" r="1016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C BacCovTop.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529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EBAE" w14:textId="77777777" w:rsidR="000A3CD6" w:rsidRDefault="000A3CD6" w:rsidP="00170D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EA6B" w14:textId="00C0C675" w:rsidR="000A3CD6" w:rsidRDefault="000A3CD6" w:rsidP="0017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5A55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829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0E2E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C7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C6C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6AC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3424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03A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E0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F4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A774D"/>
    <w:multiLevelType w:val="hybridMultilevel"/>
    <w:tmpl w:val="0A42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E7F6B"/>
    <w:multiLevelType w:val="hybridMultilevel"/>
    <w:tmpl w:val="61CC4EB4"/>
    <w:lvl w:ilvl="0" w:tplc="D216328A">
      <w:start w:val="1"/>
      <w:numFmt w:val="bullet"/>
      <w:pStyle w:val="Bullets"/>
      <w:lvlText w:val=""/>
      <w:lvlJc w:val="left"/>
      <w:pPr>
        <w:ind w:left="1353" w:hanging="360"/>
      </w:pPr>
      <w:rPr>
        <w:rFonts w:ascii="Symbol" w:hAnsi="Symbol" w:hint="default"/>
        <w:b/>
        <w:i w:val="0"/>
        <w:color w:val="auto"/>
        <w:sz w:val="24"/>
        <w:szCs w:val="24"/>
      </w:rPr>
    </w:lvl>
    <w:lvl w:ilvl="1" w:tplc="FBEACEBC">
      <w:start w:val="1"/>
      <w:numFmt w:val="lowerRoman"/>
      <w:lvlText w:val="(%2)"/>
      <w:lvlJc w:val="right"/>
      <w:pPr>
        <w:ind w:left="1440" w:hanging="360"/>
      </w:pPr>
      <w:rPr>
        <w:rFonts w:hint="default"/>
      </w:rPr>
    </w:lvl>
    <w:lvl w:ilvl="2" w:tplc="FBEACEB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1848CE"/>
    <w:multiLevelType w:val="hybridMultilevel"/>
    <w:tmpl w:val="73DE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21FF1"/>
    <w:multiLevelType w:val="hybridMultilevel"/>
    <w:tmpl w:val="0FDCB690"/>
    <w:lvl w:ilvl="0" w:tplc="5F88533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5A5F7D"/>
    <w:multiLevelType w:val="hybridMultilevel"/>
    <w:tmpl w:val="EE5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27716"/>
    <w:multiLevelType w:val="hybridMultilevel"/>
    <w:tmpl w:val="BD94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62736"/>
    <w:multiLevelType w:val="hybridMultilevel"/>
    <w:tmpl w:val="0414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F6C3C"/>
    <w:multiLevelType w:val="hybridMultilevel"/>
    <w:tmpl w:val="1E00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779A7"/>
    <w:multiLevelType w:val="hybridMultilevel"/>
    <w:tmpl w:val="87F08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F7FBD"/>
    <w:multiLevelType w:val="hybridMultilevel"/>
    <w:tmpl w:val="8BA4B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BF3D30"/>
    <w:multiLevelType w:val="hybridMultilevel"/>
    <w:tmpl w:val="32762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F55A5C"/>
    <w:multiLevelType w:val="hybridMultilevel"/>
    <w:tmpl w:val="AF84E1D2"/>
    <w:lvl w:ilvl="0" w:tplc="08090003">
      <w:start w:val="1"/>
      <w:numFmt w:val="bullet"/>
      <w:lvlText w:val="o"/>
      <w:lvlJc w:val="left"/>
      <w:pPr>
        <w:ind w:left="1458" w:hanging="360"/>
      </w:pPr>
      <w:rPr>
        <w:rFonts w:ascii="Courier New" w:hAnsi="Courier New" w:cs="Courier New"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2" w15:restartNumberingAfterBreak="0">
    <w:nsid w:val="3DC14BBF"/>
    <w:multiLevelType w:val="hybridMultilevel"/>
    <w:tmpl w:val="9640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642EAE"/>
    <w:multiLevelType w:val="hybridMultilevel"/>
    <w:tmpl w:val="FF36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83ECA"/>
    <w:multiLevelType w:val="hybridMultilevel"/>
    <w:tmpl w:val="33E4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43B23"/>
    <w:multiLevelType w:val="hybridMultilevel"/>
    <w:tmpl w:val="9FFE6826"/>
    <w:lvl w:ilvl="0" w:tplc="D216328A">
      <w:start w:val="1"/>
      <w:numFmt w:val="bullet"/>
      <w:lvlText w:val=""/>
      <w:lvlJc w:val="left"/>
      <w:pPr>
        <w:ind w:left="1353" w:hanging="360"/>
      </w:pPr>
      <w:rPr>
        <w:rFonts w:ascii="Symbol" w:hAnsi="Symbol" w:hint="default"/>
        <w:b/>
        <w:i w:val="0"/>
        <w:color w:val="auto"/>
        <w:sz w:val="24"/>
        <w:szCs w:val="24"/>
      </w:rPr>
    </w:lvl>
    <w:lvl w:ilvl="1" w:tplc="0C090003">
      <w:start w:val="1"/>
      <w:numFmt w:val="bullet"/>
      <w:lvlText w:val="o"/>
      <w:lvlJc w:val="left"/>
      <w:pPr>
        <w:ind w:left="1440" w:hanging="360"/>
      </w:pPr>
      <w:rPr>
        <w:rFonts w:ascii="Courier New" w:hAnsi="Courier New" w:cs="Courier New" w:hint="default"/>
      </w:rPr>
    </w:lvl>
    <w:lvl w:ilvl="2" w:tplc="FBEACEBC">
      <w:start w:val="1"/>
      <w:numFmt w:val="lowerRoman"/>
      <w:lvlText w:val="(%3)"/>
      <w:lvlJc w:val="right"/>
      <w:pPr>
        <w:ind w:left="2160" w:hanging="180"/>
      </w:pPr>
      <w:rPr>
        <w:rFonts w:hint="default"/>
      </w:rPr>
    </w:lvl>
    <w:lvl w:ilvl="3" w:tplc="FFE22B64">
      <w:start w:val="1"/>
      <w:numFmt w:val="decimal"/>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895829"/>
    <w:multiLevelType w:val="hybridMultilevel"/>
    <w:tmpl w:val="DD6C3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40492F"/>
    <w:multiLevelType w:val="hybridMultilevel"/>
    <w:tmpl w:val="BE6C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4A91"/>
    <w:multiLevelType w:val="hybridMultilevel"/>
    <w:tmpl w:val="8EDE8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874C42"/>
    <w:multiLevelType w:val="hybridMultilevel"/>
    <w:tmpl w:val="A484C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C6666"/>
    <w:multiLevelType w:val="hybridMultilevel"/>
    <w:tmpl w:val="7F0A2C56"/>
    <w:lvl w:ilvl="0" w:tplc="6FC8E16C">
      <w:start w:val="1"/>
      <w:numFmt w:val="decimal"/>
      <w:lvlText w:val="%1."/>
      <w:lvlJc w:val="left"/>
      <w:pPr>
        <w:tabs>
          <w:tab w:val="num" w:pos="567"/>
        </w:tabs>
        <w:ind w:left="567" w:hanging="567"/>
      </w:pPr>
      <w:rPr>
        <w:rFonts w:hint="default"/>
      </w:rPr>
    </w:lvl>
    <w:lvl w:ilvl="1" w:tplc="6166F23A">
      <w:start w:val="1"/>
      <w:numFmt w:val="lowerLetter"/>
      <w:lvlText w:val="%2."/>
      <w:lvlJc w:val="left"/>
      <w:pPr>
        <w:tabs>
          <w:tab w:val="num" w:pos="1134"/>
        </w:tabs>
        <w:ind w:left="1134" w:hanging="56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30"/>
  </w:num>
  <w:num w:numId="13">
    <w:abstractNumId w:val="31"/>
  </w:num>
  <w:num w:numId="14">
    <w:abstractNumId w:val="10"/>
  </w:num>
  <w:num w:numId="15">
    <w:abstractNumId w:val="18"/>
  </w:num>
  <w:num w:numId="16">
    <w:abstractNumId w:val="16"/>
  </w:num>
  <w:num w:numId="17">
    <w:abstractNumId w:val="27"/>
  </w:num>
  <w:num w:numId="18">
    <w:abstractNumId w:val="15"/>
  </w:num>
  <w:num w:numId="19">
    <w:abstractNumId w:val="23"/>
  </w:num>
  <w:num w:numId="20">
    <w:abstractNumId w:val="17"/>
  </w:num>
  <w:num w:numId="21">
    <w:abstractNumId w:val="11"/>
  </w:num>
  <w:num w:numId="22">
    <w:abstractNumId w:val="13"/>
  </w:num>
  <w:num w:numId="23">
    <w:abstractNumId w:val="12"/>
  </w:num>
  <w:num w:numId="24">
    <w:abstractNumId w:val="25"/>
  </w:num>
  <w:num w:numId="25">
    <w:abstractNumId w:val="29"/>
  </w:num>
  <w:num w:numId="26">
    <w:abstractNumId w:val="19"/>
  </w:num>
  <w:num w:numId="27">
    <w:abstractNumId w:val="28"/>
  </w:num>
  <w:num w:numId="28">
    <w:abstractNumId w:val="24"/>
  </w:num>
  <w:num w:numId="29">
    <w:abstractNumId w:val="11"/>
  </w:num>
  <w:num w:numId="30">
    <w:abstractNumId w:val="11"/>
  </w:num>
  <w:num w:numId="31">
    <w:abstractNumId w:val="21"/>
  </w:num>
  <w:num w:numId="32">
    <w:abstractNumId w:val="22"/>
  </w:num>
  <w:num w:numId="33">
    <w:abstractNumId w:val="20"/>
  </w:num>
  <w:num w:numId="34">
    <w:abstractNumId w:val="11"/>
  </w:num>
  <w:num w:numId="35">
    <w:abstractNumId w:val="26"/>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49"/>
    <w:rsid w:val="00012096"/>
    <w:rsid w:val="00013F03"/>
    <w:rsid w:val="0001739F"/>
    <w:rsid w:val="00022781"/>
    <w:rsid w:val="00043B3B"/>
    <w:rsid w:val="0004473A"/>
    <w:rsid w:val="00052A2C"/>
    <w:rsid w:val="0006054A"/>
    <w:rsid w:val="0006176C"/>
    <w:rsid w:val="00063979"/>
    <w:rsid w:val="00063EE4"/>
    <w:rsid w:val="00084941"/>
    <w:rsid w:val="000A3CD6"/>
    <w:rsid w:val="000A3D95"/>
    <w:rsid w:val="000A78CA"/>
    <w:rsid w:val="000B193F"/>
    <w:rsid w:val="000C2F04"/>
    <w:rsid w:val="000C3DA0"/>
    <w:rsid w:val="000D1F7E"/>
    <w:rsid w:val="000D73E4"/>
    <w:rsid w:val="000D78D4"/>
    <w:rsid w:val="000E2B44"/>
    <w:rsid w:val="000E5162"/>
    <w:rsid w:val="000F3F94"/>
    <w:rsid w:val="000F5B0D"/>
    <w:rsid w:val="000F6AEF"/>
    <w:rsid w:val="00110AD3"/>
    <w:rsid w:val="001133E8"/>
    <w:rsid w:val="00113B61"/>
    <w:rsid w:val="001273C9"/>
    <w:rsid w:val="0013717A"/>
    <w:rsid w:val="0014149D"/>
    <w:rsid w:val="00147EBD"/>
    <w:rsid w:val="00150C7C"/>
    <w:rsid w:val="001709AC"/>
    <w:rsid w:val="00170D54"/>
    <w:rsid w:val="001950F1"/>
    <w:rsid w:val="001965D3"/>
    <w:rsid w:val="001B56A1"/>
    <w:rsid w:val="001D69E3"/>
    <w:rsid w:val="001E135E"/>
    <w:rsid w:val="001F22C7"/>
    <w:rsid w:val="0023372E"/>
    <w:rsid w:val="00260190"/>
    <w:rsid w:val="00271577"/>
    <w:rsid w:val="0027265B"/>
    <w:rsid w:val="002749FA"/>
    <w:rsid w:val="00275D9A"/>
    <w:rsid w:val="00297F50"/>
    <w:rsid w:val="002C3BF4"/>
    <w:rsid w:val="002D149A"/>
    <w:rsid w:val="002D4FF0"/>
    <w:rsid w:val="002E7E7B"/>
    <w:rsid w:val="002F23D9"/>
    <w:rsid w:val="00305720"/>
    <w:rsid w:val="00322929"/>
    <w:rsid w:val="00323E3C"/>
    <w:rsid w:val="00336885"/>
    <w:rsid w:val="00341A68"/>
    <w:rsid w:val="00366517"/>
    <w:rsid w:val="003756D0"/>
    <w:rsid w:val="003B42F0"/>
    <w:rsid w:val="003C468B"/>
    <w:rsid w:val="003F70CF"/>
    <w:rsid w:val="00404F1A"/>
    <w:rsid w:val="0041242F"/>
    <w:rsid w:val="00416F26"/>
    <w:rsid w:val="00417C7A"/>
    <w:rsid w:val="004207DB"/>
    <w:rsid w:val="00433988"/>
    <w:rsid w:val="004411AC"/>
    <w:rsid w:val="00441E27"/>
    <w:rsid w:val="00445071"/>
    <w:rsid w:val="00447B72"/>
    <w:rsid w:val="004751AB"/>
    <w:rsid w:val="00486141"/>
    <w:rsid w:val="00492447"/>
    <w:rsid w:val="004A14EE"/>
    <w:rsid w:val="004A2CCF"/>
    <w:rsid w:val="004A3F1D"/>
    <w:rsid w:val="004B329E"/>
    <w:rsid w:val="00514D64"/>
    <w:rsid w:val="005161E3"/>
    <w:rsid w:val="00525079"/>
    <w:rsid w:val="00535A37"/>
    <w:rsid w:val="00547C62"/>
    <w:rsid w:val="0055253E"/>
    <w:rsid w:val="0056257E"/>
    <w:rsid w:val="00564DEF"/>
    <w:rsid w:val="005762B6"/>
    <w:rsid w:val="00576D4E"/>
    <w:rsid w:val="00580F2B"/>
    <w:rsid w:val="0059455A"/>
    <w:rsid w:val="005A5FF8"/>
    <w:rsid w:val="005A78FF"/>
    <w:rsid w:val="005B1C8A"/>
    <w:rsid w:val="005C2AEB"/>
    <w:rsid w:val="005D49EE"/>
    <w:rsid w:val="005E3F35"/>
    <w:rsid w:val="005E7D5B"/>
    <w:rsid w:val="005F22EC"/>
    <w:rsid w:val="005F5506"/>
    <w:rsid w:val="006125C2"/>
    <w:rsid w:val="0061323C"/>
    <w:rsid w:val="00620B2E"/>
    <w:rsid w:val="00636BB1"/>
    <w:rsid w:val="00650906"/>
    <w:rsid w:val="0068652F"/>
    <w:rsid w:val="0069068D"/>
    <w:rsid w:val="0069725B"/>
    <w:rsid w:val="00697831"/>
    <w:rsid w:val="006A23A4"/>
    <w:rsid w:val="006B6BC7"/>
    <w:rsid w:val="006D31AA"/>
    <w:rsid w:val="006F0DA0"/>
    <w:rsid w:val="006F1456"/>
    <w:rsid w:val="006F1AC2"/>
    <w:rsid w:val="006F4528"/>
    <w:rsid w:val="00704CD9"/>
    <w:rsid w:val="00715A37"/>
    <w:rsid w:val="00750493"/>
    <w:rsid w:val="007827E1"/>
    <w:rsid w:val="0078343C"/>
    <w:rsid w:val="007A158D"/>
    <w:rsid w:val="007B0502"/>
    <w:rsid w:val="007B1DD3"/>
    <w:rsid w:val="007B1DEE"/>
    <w:rsid w:val="007C1B84"/>
    <w:rsid w:val="007C6E49"/>
    <w:rsid w:val="007F26EA"/>
    <w:rsid w:val="00801D57"/>
    <w:rsid w:val="008046E8"/>
    <w:rsid w:val="008071E9"/>
    <w:rsid w:val="00807D0E"/>
    <w:rsid w:val="00813838"/>
    <w:rsid w:val="00816DAA"/>
    <w:rsid w:val="00821CF7"/>
    <w:rsid w:val="00833F56"/>
    <w:rsid w:val="00881F16"/>
    <w:rsid w:val="00882FD1"/>
    <w:rsid w:val="008A7A4E"/>
    <w:rsid w:val="008B4B1A"/>
    <w:rsid w:val="008B7071"/>
    <w:rsid w:val="008C62F9"/>
    <w:rsid w:val="008C7A45"/>
    <w:rsid w:val="008D0D52"/>
    <w:rsid w:val="008E18E2"/>
    <w:rsid w:val="008E420F"/>
    <w:rsid w:val="008F1DFC"/>
    <w:rsid w:val="00903D38"/>
    <w:rsid w:val="0091158B"/>
    <w:rsid w:val="00912EDC"/>
    <w:rsid w:val="00914EE9"/>
    <w:rsid w:val="00916EC6"/>
    <w:rsid w:val="009444FD"/>
    <w:rsid w:val="0094489B"/>
    <w:rsid w:val="0094648F"/>
    <w:rsid w:val="00970714"/>
    <w:rsid w:val="00981BC6"/>
    <w:rsid w:val="00982F78"/>
    <w:rsid w:val="009932E4"/>
    <w:rsid w:val="009A0EDA"/>
    <w:rsid w:val="009A0FB0"/>
    <w:rsid w:val="009B324C"/>
    <w:rsid w:val="009B42C9"/>
    <w:rsid w:val="009C497C"/>
    <w:rsid w:val="009C6B91"/>
    <w:rsid w:val="009D7D8A"/>
    <w:rsid w:val="009E3642"/>
    <w:rsid w:val="009E7D2A"/>
    <w:rsid w:val="009F6EA1"/>
    <w:rsid w:val="00A00CB2"/>
    <w:rsid w:val="00A0739B"/>
    <w:rsid w:val="00A16482"/>
    <w:rsid w:val="00A32C65"/>
    <w:rsid w:val="00A779BF"/>
    <w:rsid w:val="00A77CB1"/>
    <w:rsid w:val="00A92C58"/>
    <w:rsid w:val="00AA579A"/>
    <w:rsid w:val="00AB70BC"/>
    <w:rsid w:val="00AD1615"/>
    <w:rsid w:val="00AD44F0"/>
    <w:rsid w:val="00AE211F"/>
    <w:rsid w:val="00AF0619"/>
    <w:rsid w:val="00AF31B7"/>
    <w:rsid w:val="00B02FCB"/>
    <w:rsid w:val="00B06C80"/>
    <w:rsid w:val="00B1432B"/>
    <w:rsid w:val="00B1737D"/>
    <w:rsid w:val="00B21075"/>
    <w:rsid w:val="00B23928"/>
    <w:rsid w:val="00B36737"/>
    <w:rsid w:val="00B4050B"/>
    <w:rsid w:val="00B42FC3"/>
    <w:rsid w:val="00B75A3A"/>
    <w:rsid w:val="00B84B8E"/>
    <w:rsid w:val="00BA4133"/>
    <w:rsid w:val="00C00B32"/>
    <w:rsid w:val="00C250DA"/>
    <w:rsid w:val="00C50B28"/>
    <w:rsid w:val="00C65BC3"/>
    <w:rsid w:val="00C74CF0"/>
    <w:rsid w:val="00C85AA7"/>
    <w:rsid w:val="00CA311C"/>
    <w:rsid w:val="00CB486F"/>
    <w:rsid w:val="00CC7C2D"/>
    <w:rsid w:val="00CD13C8"/>
    <w:rsid w:val="00CE053B"/>
    <w:rsid w:val="00CE63C4"/>
    <w:rsid w:val="00CF527C"/>
    <w:rsid w:val="00D06F32"/>
    <w:rsid w:val="00D111A6"/>
    <w:rsid w:val="00D12B9D"/>
    <w:rsid w:val="00D13C87"/>
    <w:rsid w:val="00D254F5"/>
    <w:rsid w:val="00D53F44"/>
    <w:rsid w:val="00D57E5D"/>
    <w:rsid w:val="00D641F3"/>
    <w:rsid w:val="00DA4408"/>
    <w:rsid w:val="00DA5A1E"/>
    <w:rsid w:val="00DB68FF"/>
    <w:rsid w:val="00DC6A32"/>
    <w:rsid w:val="00DF198B"/>
    <w:rsid w:val="00E22605"/>
    <w:rsid w:val="00E57172"/>
    <w:rsid w:val="00E647A0"/>
    <w:rsid w:val="00E7534D"/>
    <w:rsid w:val="00E9483A"/>
    <w:rsid w:val="00E96BFF"/>
    <w:rsid w:val="00EA58C4"/>
    <w:rsid w:val="00EB025C"/>
    <w:rsid w:val="00EE0CAE"/>
    <w:rsid w:val="00EF28B1"/>
    <w:rsid w:val="00EF61C8"/>
    <w:rsid w:val="00F1229D"/>
    <w:rsid w:val="00F1398B"/>
    <w:rsid w:val="00F141D5"/>
    <w:rsid w:val="00F226A7"/>
    <w:rsid w:val="00F26BD5"/>
    <w:rsid w:val="00F305C6"/>
    <w:rsid w:val="00F35892"/>
    <w:rsid w:val="00F366ED"/>
    <w:rsid w:val="00F45B83"/>
    <w:rsid w:val="00F47FFC"/>
    <w:rsid w:val="00F540E5"/>
    <w:rsid w:val="00F746A8"/>
    <w:rsid w:val="00F91B24"/>
    <w:rsid w:val="00FA2EC6"/>
    <w:rsid w:val="00FA5553"/>
    <w:rsid w:val="00FA619E"/>
    <w:rsid w:val="00FA7A33"/>
    <w:rsid w:val="00FA7AFB"/>
    <w:rsid w:val="00FB6093"/>
    <w:rsid w:val="00FC268D"/>
    <w:rsid w:val="00FD16DF"/>
    <w:rsid w:val="00FD3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3EA2C"/>
  <w14:defaultImageDpi w14:val="32767"/>
  <w15:docId w15:val="{8D15C6C7-132D-4EA2-B3E3-679C0800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D54"/>
    <w:pPr>
      <w:spacing w:after="140" w:line="240" w:lineRule="atLeast"/>
    </w:pPr>
    <w:rPr>
      <w:rFonts w:cs="Times New Roman (Body CS)"/>
      <w:sz w:val="22"/>
      <w:lang w:val="en-AU"/>
    </w:rPr>
  </w:style>
  <w:style w:type="paragraph" w:styleId="Heading1">
    <w:name w:val="heading 1"/>
    <w:basedOn w:val="Heading2"/>
    <w:next w:val="Normal"/>
    <w:link w:val="Heading1Char"/>
    <w:uiPriority w:val="9"/>
    <w:qFormat/>
    <w:rsid w:val="000D78D4"/>
    <w:pPr>
      <w:outlineLvl w:val="0"/>
    </w:pPr>
    <w:rPr>
      <w:sz w:val="48"/>
      <w:szCs w:val="48"/>
    </w:rPr>
  </w:style>
  <w:style w:type="paragraph" w:styleId="Heading2">
    <w:name w:val="heading 2"/>
    <w:next w:val="Normal"/>
    <w:link w:val="Heading2Char"/>
    <w:uiPriority w:val="9"/>
    <w:unhideWhenUsed/>
    <w:qFormat/>
    <w:rsid w:val="000E2B44"/>
    <w:pPr>
      <w:keepNext/>
      <w:spacing w:before="360" w:after="120"/>
      <w:outlineLvl w:val="1"/>
    </w:pPr>
    <w:rPr>
      <w:rFonts w:asciiTheme="majorHAnsi" w:eastAsiaTheme="majorEastAsia" w:hAnsiTheme="majorHAnsi" w:cs="Times New Roman (Headings CS)"/>
      <w:b/>
      <w:color w:val="1E499C" w:themeColor="text2"/>
      <w:sz w:val="36"/>
      <w:szCs w:val="36"/>
      <w:lang w:val="en-AU"/>
    </w:rPr>
  </w:style>
  <w:style w:type="paragraph" w:styleId="Heading3">
    <w:name w:val="heading 3"/>
    <w:basedOn w:val="Heading2"/>
    <w:next w:val="Normal"/>
    <w:link w:val="Heading3Char"/>
    <w:uiPriority w:val="9"/>
    <w:unhideWhenUsed/>
    <w:qFormat/>
    <w:rsid w:val="00525079"/>
    <w:pPr>
      <w:outlineLvl w:val="2"/>
    </w:pPr>
    <w:rPr>
      <w:sz w:val="28"/>
      <w:szCs w:val="28"/>
    </w:rPr>
  </w:style>
  <w:style w:type="paragraph" w:styleId="Heading4">
    <w:name w:val="heading 4"/>
    <w:next w:val="Normal"/>
    <w:link w:val="Heading4Char"/>
    <w:uiPriority w:val="9"/>
    <w:unhideWhenUsed/>
    <w:qFormat/>
    <w:rsid w:val="006F4528"/>
    <w:pPr>
      <w:spacing w:before="240" w:after="120"/>
      <w:outlineLvl w:val="3"/>
    </w:pPr>
    <w:rPr>
      <w:rFonts w:asciiTheme="majorHAnsi" w:eastAsiaTheme="majorEastAsia" w:hAnsiTheme="majorHAnsi" w:cs="Times New Roman (Headings CS)"/>
      <w:b/>
      <w:iCs/>
      <w:color w:val="808080" w:themeColor="background1" w:themeShade="80"/>
      <w:sz w:val="28"/>
      <w:szCs w:val="28"/>
      <w:lang w:val="en-AU"/>
    </w:rPr>
  </w:style>
  <w:style w:type="paragraph" w:styleId="Heading5">
    <w:name w:val="heading 5"/>
    <w:next w:val="Normal"/>
    <w:link w:val="Heading5Char"/>
    <w:uiPriority w:val="9"/>
    <w:unhideWhenUsed/>
    <w:qFormat/>
    <w:rsid w:val="00F35892"/>
    <w:pPr>
      <w:spacing w:before="240" w:after="60"/>
      <w:outlineLvl w:val="4"/>
    </w:pPr>
    <w:rPr>
      <w:rFonts w:asciiTheme="majorHAnsi" w:eastAsiaTheme="majorEastAsia" w:hAnsiTheme="majorHAnsi" w:cstheme="majorBidi"/>
      <w:iCs/>
      <w:caps/>
      <w:color w:val="808080" w:themeColor="background1" w:themeShade="80"/>
      <w:szCs w:val="22"/>
      <w:lang w:val="en-AU"/>
    </w:rPr>
  </w:style>
  <w:style w:type="paragraph" w:styleId="Heading6">
    <w:name w:val="heading 6"/>
    <w:basedOn w:val="Normal"/>
    <w:next w:val="Normal"/>
    <w:link w:val="Heading6Char"/>
    <w:uiPriority w:val="9"/>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7C62"/>
    <w:pPr>
      <w:spacing w:before="1320" w:after="0" w:line="216" w:lineRule="auto"/>
      <w:ind w:left="142" w:right="2261"/>
      <w:contextualSpacing/>
    </w:pPr>
    <w:rPr>
      <w:rFonts w:asciiTheme="majorHAnsi" w:eastAsiaTheme="majorEastAsia" w:hAnsiTheme="majorHAnsi" w:cstheme="majorBidi"/>
      <w:b/>
      <w:color w:val="564D47" w:themeColor="background2"/>
      <w:spacing w:val="-10"/>
      <w:kern w:val="28"/>
      <w:sz w:val="96"/>
      <w:szCs w:val="76"/>
    </w:rPr>
  </w:style>
  <w:style w:type="character" w:customStyle="1" w:styleId="TitleChar">
    <w:name w:val="Title Char"/>
    <w:basedOn w:val="DefaultParagraphFont"/>
    <w:link w:val="Title"/>
    <w:uiPriority w:val="10"/>
    <w:rsid w:val="00547C62"/>
    <w:rPr>
      <w:rFonts w:asciiTheme="majorHAnsi" w:eastAsiaTheme="majorEastAsia" w:hAnsiTheme="majorHAnsi" w:cstheme="majorBidi"/>
      <w:b/>
      <w:color w:val="564D47" w:themeColor="background2"/>
      <w:spacing w:val="-10"/>
      <w:kern w:val="28"/>
      <w:sz w:val="96"/>
      <w:szCs w:val="76"/>
      <w:lang w:val="en-AU"/>
    </w:rPr>
  </w:style>
  <w:style w:type="character" w:customStyle="1" w:styleId="Heading1Char">
    <w:name w:val="Heading 1 Char"/>
    <w:basedOn w:val="DefaultParagraphFont"/>
    <w:link w:val="Heading1"/>
    <w:uiPriority w:val="9"/>
    <w:rsid w:val="000D78D4"/>
    <w:rPr>
      <w:rFonts w:asciiTheme="majorHAnsi" w:eastAsiaTheme="majorEastAsia" w:hAnsiTheme="majorHAnsi" w:cs="Times New Roman (Headings CS)"/>
      <w:b/>
      <w:color w:val="1E499C" w:themeColor="text2"/>
      <w:sz w:val="48"/>
      <w:szCs w:val="48"/>
      <w:lang w:val="en-AU"/>
    </w:rPr>
  </w:style>
  <w:style w:type="paragraph" w:styleId="ListParagraph">
    <w:name w:val="List Paragraph"/>
    <w:basedOn w:val="Normal"/>
    <w:uiPriority w:val="34"/>
    <w:qFormat/>
    <w:rsid w:val="0068652F"/>
    <w:pPr>
      <w:tabs>
        <w:tab w:val="left" w:pos="567"/>
        <w:tab w:val="left" w:pos="1134"/>
        <w:tab w:val="left" w:pos="1701"/>
      </w:tabs>
      <w:contextualSpacing/>
    </w:pPr>
  </w:style>
  <w:style w:type="paragraph" w:styleId="Subtitle">
    <w:name w:val="Subtitle"/>
    <w:basedOn w:val="Normal"/>
    <w:next w:val="Normal"/>
    <w:link w:val="SubtitleChar"/>
    <w:uiPriority w:val="11"/>
    <w:qFormat/>
    <w:rsid w:val="00547C62"/>
    <w:pPr>
      <w:numPr>
        <w:ilvl w:val="1"/>
      </w:numPr>
      <w:spacing w:before="240" w:after="240" w:line="240" w:lineRule="auto"/>
      <w:ind w:left="142" w:right="2261"/>
    </w:pPr>
    <w:rPr>
      <w:rFonts w:eastAsiaTheme="minorEastAsia"/>
      <w:color w:val="000000" w:themeColor="text1"/>
      <w:sz w:val="48"/>
      <w:szCs w:val="32"/>
    </w:rPr>
  </w:style>
  <w:style w:type="character" w:customStyle="1" w:styleId="SubtitleChar">
    <w:name w:val="Subtitle Char"/>
    <w:basedOn w:val="DefaultParagraphFont"/>
    <w:link w:val="Subtitle"/>
    <w:uiPriority w:val="11"/>
    <w:rsid w:val="00547C62"/>
    <w:rPr>
      <w:rFonts w:eastAsiaTheme="minorEastAsia" w:cs="Times New Roman (Body CS)"/>
      <w:color w:val="000000" w:themeColor="text1"/>
      <w:sz w:val="48"/>
      <w:szCs w:val="32"/>
      <w:lang w:val="en-AU"/>
    </w:rPr>
  </w:style>
  <w:style w:type="character" w:customStyle="1" w:styleId="Heading2Char">
    <w:name w:val="Heading 2 Char"/>
    <w:basedOn w:val="DefaultParagraphFont"/>
    <w:link w:val="Heading2"/>
    <w:uiPriority w:val="9"/>
    <w:rsid w:val="000E2B44"/>
    <w:rPr>
      <w:rFonts w:asciiTheme="majorHAnsi" w:eastAsiaTheme="majorEastAsia" w:hAnsiTheme="majorHAnsi" w:cs="Times New Roman (Headings CS)"/>
      <w:b/>
      <w:color w:val="1E499C" w:themeColor="text2"/>
      <w:sz w:val="36"/>
      <w:szCs w:val="36"/>
      <w:lang w:val="en-AU"/>
    </w:rPr>
  </w:style>
  <w:style w:type="character" w:customStyle="1" w:styleId="Heading3Char">
    <w:name w:val="Heading 3 Char"/>
    <w:basedOn w:val="DefaultParagraphFont"/>
    <w:link w:val="Heading3"/>
    <w:uiPriority w:val="9"/>
    <w:rsid w:val="00525079"/>
    <w:rPr>
      <w:rFonts w:asciiTheme="majorHAnsi" w:eastAsiaTheme="majorEastAsia" w:hAnsiTheme="majorHAnsi" w:cs="Times New Roman (Headings CS)"/>
      <w:b/>
      <w:color w:val="1E499C" w:themeColor="text2"/>
      <w:sz w:val="28"/>
      <w:szCs w:val="28"/>
      <w:lang w:val="en-AU"/>
    </w:rPr>
  </w:style>
  <w:style w:type="character" w:customStyle="1" w:styleId="Heading4Char">
    <w:name w:val="Heading 4 Char"/>
    <w:basedOn w:val="DefaultParagraphFont"/>
    <w:link w:val="Heading4"/>
    <w:uiPriority w:val="9"/>
    <w:rsid w:val="006F4528"/>
    <w:rPr>
      <w:rFonts w:asciiTheme="majorHAnsi" w:eastAsiaTheme="majorEastAsia" w:hAnsiTheme="majorHAnsi" w:cs="Times New Roman (Headings CS)"/>
      <w:b/>
      <w:iCs/>
      <w:color w:val="808080" w:themeColor="background1" w:themeShade="80"/>
      <w:sz w:val="28"/>
      <w:szCs w:val="28"/>
      <w:lang w:val="en-AU"/>
    </w:rPr>
  </w:style>
  <w:style w:type="paragraph" w:styleId="Quote">
    <w:name w:val="Quote"/>
    <w:aliases w:val="Intro Text"/>
    <w:basedOn w:val="Normal"/>
    <w:next w:val="Normal"/>
    <w:link w:val="QuoteChar"/>
    <w:uiPriority w:val="29"/>
    <w:qFormat/>
    <w:rsid w:val="00564DEF"/>
    <w:pPr>
      <w:spacing w:before="280" w:after="840" w:line="240" w:lineRule="auto"/>
    </w:pPr>
    <w:rPr>
      <w:iCs/>
      <w:color w:val="1E499C" w:themeColor="text2"/>
      <w:sz w:val="32"/>
    </w:rPr>
  </w:style>
  <w:style w:type="character" w:customStyle="1" w:styleId="QuoteChar">
    <w:name w:val="Quote Char"/>
    <w:aliases w:val="Intro Text Char"/>
    <w:basedOn w:val="DefaultParagraphFont"/>
    <w:link w:val="Quote"/>
    <w:uiPriority w:val="29"/>
    <w:rsid w:val="00564DEF"/>
    <w:rPr>
      <w:rFonts w:cs="Times New Roman (Body CS)"/>
      <w:iCs/>
      <w:color w:val="1E499C" w:themeColor="text2"/>
      <w:sz w:val="32"/>
      <w:lang w:val="en-AU"/>
    </w:rPr>
  </w:style>
  <w:style w:type="paragraph" w:styleId="IntenseQuote">
    <w:name w:val="Intense Quote"/>
    <w:aliases w:val="Pullout quote"/>
    <w:basedOn w:val="Normal"/>
    <w:next w:val="Normal"/>
    <w:link w:val="IntenseQuoteChar"/>
    <w:uiPriority w:val="30"/>
    <w:qFormat/>
    <w:rsid w:val="00580F2B"/>
    <w:pPr>
      <w:pBdr>
        <w:top w:val="single" w:sz="4" w:space="7" w:color="1E499C" w:themeColor="text2"/>
        <w:bottom w:val="single" w:sz="4" w:space="7" w:color="1E499C" w:themeColor="text2"/>
      </w:pBdr>
      <w:spacing w:before="200" w:after="200" w:line="360" w:lineRule="exact"/>
      <w:jc w:val="center"/>
    </w:pPr>
    <w:rPr>
      <w:i/>
      <w:iCs/>
      <w:color w:val="1E499C" w:themeColor="text2"/>
      <w:sz w:val="24"/>
    </w:rPr>
  </w:style>
  <w:style w:type="character" w:customStyle="1" w:styleId="IntenseQuoteChar">
    <w:name w:val="Intense Quote Char"/>
    <w:aliases w:val="Pullout quote Char"/>
    <w:basedOn w:val="DefaultParagraphFont"/>
    <w:link w:val="IntenseQuote"/>
    <w:uiPriority w:val="30"/>
    <w:rsid w:val="00580F2B"/>
    <w:rPr>
      <w:rFonts w:cs="Times New Roman (Body CS)"/>
      <w:i/>
      <w:iCs/>
      <w:color w:val="1E499C" w:themeColor="text2"/>
      <w:lang w:val="en-AU"/>
    </w:rPr>
  </w:style>
  <w:style w:type="paragraph" w:customStyle="1" w:styleId="TasGovDepartmentName">
    <w:name w:val="TasGov Department Name"/>
    <w:basedOn w:val="Normal"/>
    <w:qFormat/>
    <w:rsid w:val="00297F50"/>
    <w:rPr>
      <w:spacing w:val="30"/>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F35892"/>
    <w:rPr>
      <w:rFonts w:asciiTheme="majorHAnsi" w:eastAsiaTheme="majorEastAsia" w:hAnsiTheme="majorHAnsi" w:cstheme="majorBidi"/>
      <w:iCs/>
      <w:caps/>
      <w:color w:val="808080" w:themeColor="background1" w:themeShade="80"/>
      <w:szCs w:val="22"/>
      <w:lang w:val="en-AU"/>
    </w:rPr>
  </w:style>
  <w:style w:type="character" w:styleId="IntenseEmphasis">
    <w:name w:val="Intense Emphasis"/>
    <w:basedOn w:val="DefaultParagraphFont"/>
    <w:uiPriority w:val="21"/>
    <w:qFormat/>
    <w:rsid w:val="004A14EE"/>
    <w:rPr>
      <w:i/>
      <w:iCs/>
      <w:color w:val="1E499C" w:themeColor="text2"/>
    </w:rPr>
  </w:style>
  <w:style w:type="character" w:styleId="IntenseReference">
    <w:name w:val="Intense Reference"/>
    <w:basedOn w:val="DefaultParagraphFont"/>
    <w:uiPriority w:val="32"/>
    <w:qFormat/>
    <w:rsid w:val="004A14EE"/>
    <w:rPr>
      <w:b/>
      <w:bCs/>
      <w:smallCaps/>
      <w:color w:val="1E499C" w:themeColor="text2"/>
      <w:spacing w:val="5"/>
    </w:rPr>
  </w:style>
  <w:style w:type="character" w:customStyle="1" w:styleId="Heading6Char">
    <w:name w:val="Heading 6 Char"/>
    <w:basedOn w:val="DefaultParagraphFont"/>
    <w:link w:val="Heading6"/>
    <w:uiPriority w:val="9"/>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C6269" w:themeColor="accent1"/>
        <w:left w:val="single" w:sz="2" w:space="10" w:color="0C6269" w:themeColor="accent1"/>
        <w:bottom w:val="single" w:sz="2" w:space="10" w:color="0C6269" w:themeColor="accent1"/>
        <w:right w:val="single" w:sz="2" w:space="10" w:color="0C626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0B193F"/>
    <w:pPr>
      <w:tabs>
        <w:tab w:val="right" w:leader="dot" w:pos="9622"/>
      </w:tabs>
      <w:spacing w:before="120" w:after="0"/>
    </w:pPr>
    <w:rPr>
      <w:rFonts w:asciiTheme="majorHAnsi" w:hAnsiTheme="majorHAnsi"/>
      <w:b/>
      <w:bCs/>
      <w:noProof/>
      <w:sz w:val="24"/>
    </w:rPr>
  </w:style>
  <w:style w:type="paragraph" w:styleId="Revision">
    <w:name w:val="Revision"/>
    <w:hidden/>
    <w:uiPriority w:val="99"/>
    <w:semiHidden/>
    <w:rsid w:val="00535A37"/>
    <w:rPr>
      <w:rFonts w:cs="Times New Roman (Body CS)"/>
      <w:sz w:val="22"/>
      <w:lang w:val="en-AU"/>
    </w:rPr>
  </w:style>
  <w:style w:type="paragraph" w:customStyle="1" w:styleId="BasicParagraph">
    <w:name w:val="[Basic Paragraph]"/>
    <w:basedOn w:val="Normal"/>
    <w:uiPriority w:val="99"/>
    <w:rsid w:val="00043B3B"/>
    <w:pPr>
      <w:autoSpaceDE w:val="0"/>
      <w:autoSpaceDN w:val="0"/>
      <w:adjustRightInd w:val="0"/>
      <w:spacing w:after="0" w:line="288" w:lineRule="auto"/>
      <w:textAlignment w:val="center"/>
    </w:pPr>
    <w:rPr>
      <w:rFonts w:ascii="GillSansMTPro-Medium" w:hAnsi="GillSansMTPro-Medium" w:cs="GillSansMTPro-Medium"/>
      <w:color w:val="000000"/>
      <w:sz w:val="24"/>
      <w:lang w:val="en-US"/>
    </w:rPr>
  </w:style>
  <w:style w:type="character" w:styleId="Hyperlink">
    <w:name w:val="Hyperlink"/>
    <w:basedOn w:val="DefaultParagraphFont"/>
    <w:uiPriority w:val="99"/>
    <w:unhideWhenUsed/>
    <w:rsid w:val="005F5506"/>
    <w:rPr>
      <w:color w:val="0C61B2" w:themeColor="hyperlink"/>
      <w:u w:val="single"/>
    </w:rPr>
  </w:style>
  <w:style w:type="character" w:customStyle="1" w:styleId="UnresolvedMention">
    <w:name w:val="Unresolved Mention"/>
    <w:basedOn w:val="DefaultParagraphFont"/>
    <w:uiPriority w:val="99"/>
    <w:rsid w:val="005F5506"/>
    <w:rPr>
      <w:color w:val="605E5C"/>
      <w:shd w:val="clear" w:color="auto" w:fill="E1DFDD"/>
    </w:rPr>
  </w:style>
  <w:style w:type="table" w:styleId="TableGrid">
    <w:name w:val="Table Grid"/>
    <w:basedOn w:val="TableNormal"/>
    <w:uiPriority w:val="39"/>
    <w:rsid w:val="005F5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5F550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6F4528"/>
    <w:tblPr>
      <w:tblStyleRowBandSize w:val="1"/>
      <w:tblStyleColBandSize w:val="1"/>
      <w:tblBorders>
        <w:top w:val="single" w:sz="4" w:space="0" w:color="FFE974" w:themeColor="accent3" w:themeTint="99"/>
        <w:left w:val="single" w:sz="4" w:space="0" w:color="FFE974" w:themeColor="accent3" w:themeTint="99"/>
        <w:bottom w:val="single" w:sz="4" w:space="0" w:color="FFE974" w:themeColor="accent3" w:themeTint="99"/>
        <w:right w:val="single" w:sz="4" w:space="0" w:color="FFE974" w:themeColor="accent3" w:themeTint="99"/>
        <w:insideH w:val="single" w:sz="4" w:space="0" w:color="FFE974" w:themeColor="accent3" w:themeTint="99"/>
        <w:insideV w:val="single" w:sz="4" w:space="0" w:color="FFE974" w:themeColor="accent3" w:themeTint="99"/>
      </w:tblBorders>
    </w:tblPr>
    <w:tblStylePr w:type="firstRow">
      <w:rPr>
        <w:b/>
        <w:bCs/>
        <w:color w:val="FFFFFF" w:themeColor="background1"/>
      </w:rPr>
      <w:tblPr/>
      <w:tcPr>
        <w:tcBorders>
          <w:top w:val="single" w:sz="4" w:space="0" w:color="FFDC18" w:themeColor="accent3"/>
          <w:left w:val="single" w:sz="4" w:space="0" w:color="FFDC18" w:themeColor="accent3"/>
          <w:bottom w:val="single" w:sz="4" w:space="0" w:color="FFDC18" w:themeColor="accent3"/>
          <w:right w:val="single" w:sz="4" w:space="0" w:color="FFDC18" w:themeColor="accent3"/>
          <w:insideH w:val="nil"/>
          <w:insideV w:val="nil"/>
        </w:tcBorders>
        <w:shd w:val="clear" w:color="auto" w:fill="FFDC18" w:themeFill="accent3"/>
      </w:tcPr>
    </w:tblStylePr>
    <w:tblStylePr w:type="lastRow">
      <w:rPr>
        <w:b/>
        <w:bCs/>
      </w:rPr>
      <w:tblPr/>
      <w:tcPr>
        <w:tcBorders>
          <w:top w:val="double" w:sz="4" w:space="0" w:color="FFDC18" w:themeColor="accent3"/>
        </w:tcBorders>
      </w:tcPr>
    </w:tblStylePr>
    <w:tblStylePr w:type="firstCol">
      <w:rPr>
        <w:b/>
        <w:bCs/>
      </w:rPr>
    </w:tblStylePr>
    <w:tblStylePr w:type="lastCol">
      <w:rPr>
        <w:b/>
        <w:bCs/>
      </w:rPr>
    </w:tblStylePr>
    <w:tblStylePr w:type="band1Vert">
      <w:tblPr/>
      <w:tcPr>
        <w:shd w:val="clear" w:color="auto" w:fill="FFF7D0" w:themeFill="accent3" w:themeFillTint="33"/>
      </w:tcPr>
    </w:tblStylePr>
    <w:tblStylePr w:type="band1Horz">
      <w:tblPr/>
      <w:tcPr>
        <w:shd w:val="clear" w:color="auto" w:fill="FFF7D0" w:themeFill="accent3" w:themeFillTint="33"/>
      </w:tcPr>
    </w:tblStylePr>
  </w:style>
  <w:style w:type="table" w:customStyle="1" w:styleId="GridTable41">
    <w:name w:val="Grid Table 41"/>
    <w:basedOn w:val="TableNormal"/>
    <w:uiPriority w:val="49"/>
    <w:rsid w:val="006F45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uiPriority w:val="49"/>
    <w:rsid w:val="006F45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6F4528"/>
    <w:pPr>
      <w:spacing w:after="200" w:line="240" w:lineRule="auto"/>
    </w:pPr>
    <w:rPr>
      <w:i/>
      <w:iCs/>
      <w:color w:val="1E499C" w:themeColor="text2"/>
      <w:sz w:val="18"/>
      <w:szCs w:val="18"/>
    </w:rPr>
  </w:style>
  <w:style w:type="paragraph" w:customStyle="1" w:styleId="FigureTableHeading">
    <w:name w:val="Figure/Table Heading"/>
    <w:qFormat/>
    <w:rsid w:val="00F35892"/>
    <w:pPr>
      <w:spacing w:before="360"/>
    </w:pPr>
    <w:rPr>
      <w:rFonts w:asciiTheme="majorHAnsi" w:eastAsiaTheme="majorEastAsia" w:hAnsiTheme="majorHAnsi" w:cs="Times New Roman (Headings CS)"/>
      <w:iCs/>
      <w:color w:val="808080" w:themeColor="background1" w:themeShade="80"/>
      <w:sz w:val="28"/>
      <w:szCs w:val="28"/>
      <w:lang w:val="en-AU"/>
    </w:rPr>
  </w:style>
  <w:style w:type="paragraph" w:styleId="Header">
    <w:name w:val="header"/>
    <w:basedOn w:val="Normal"/>
    <w:link w:val="HeaderChar"/>
    <w:uiPriority w:val="99"/>
    <w:unhideWhenUsed/>
    <w:rsid w:val="004A3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F1D"/>
    <w:rPr>
      <w:rFonts w:cs="Times New Roman (Body CS)"/>
      <w:sz w:val="22"/>
      <w:lang w:val="en-AU"/>
    </w:rPr>
  </w:style>
  <w:style w:type="character" w:styleId="PageNumber">
    <w:name w:val="page number"/>
    <w:basedOn w:val="DefaultParagraphFont"/>
    <w:uiPriority w:val="99"/>
    <w:semiHidden/>
    <w:unhideWhenUsed/>
    <w:rsid w:val="00576D4E"/>
    <w:rPr>
      <w:rFonts w:asciiTheme="majorHAnsi" w:hAnsiTheme="majorHAnsi"/>
      <w:b/>
      <w:color w:val="FFFFFF" w:themeColor="background1"/>
      <w:sz w:val="32"/>
    </w:rPr>
  </w:style>
  <w:style w:type="paragraph" w:styleId="TOC2">
    <w:name w:val="toc 2"/>
    <w:basedOn w:val="Normal"/>
    <w:next w:val="Normal"/>
    <w:autoRedefine/>
    <w:uiPriority w:val="39"/>
    <w:unhideWhenUsed/>
    <w:rsid w:val="000B193F"/>
    <w:pPr>
      <w:tabs>
        <w:tab w:val="right" w:leader="dot" w:pos="9622"/>
      </w:tabs>
      <w:spacing w:before="120" w:after="0"/>
      <w:ind w:left="567"/>
    </w:pPr>
    <w:rPr>
      <w:b/>
      <w:bCs/>
      <w:noProof/>
      <w:sz w:val="20"/>
      <w:szCs w:val="20"/>
    </w:rPr>
  </w:style>
  <w:style w:type="paragraph" w:styleId="TOC3">
    <w:name w:val="toc 3"/>
    <w:basedOn w:val="Normal"/>
    <w:next w:val="Normal"/>
    <w:autoRedefine/>
    <w:uiPriority w:val="39"/>
    <w:unhideWhenUsed/>
    <w:rsid w:val="00F35892"/>
    <w:pPr>
      <w:spacing w:after="0"/>
      <w:ind w:left="220"/>
    </w:pPr>
    <w:rPr>
      <w:sz w:val="20"/>
      <w:szCs w:val="20"/>
    </w:rPr>
  </w:style>
  <w:style w:type="paragraph" w:styleId="TOC4">
    <w:name w:val="toc 4"/>
    <w:basedOn w:val="Normal"/>
    <w:next w:val="Normal"/>
    <w:autoRedefine/>
    <w:uiPriority w:val="39"/>
    <w:unhideWhenUsed/>
    <w:rsid w:val="00F35892"/>
    <w:pPr>
      <w:spacing w:after="0"/>
      <w:ind w:left="440"/>
    </w:pPr>
    <w:rPr>
      <w:sz w:val="20"/>
      <w:szCs w:val="20"/>
    </w:rPr>
  </w:style>
  <w:style w:type="paragraph" w:styleId="TOC5">
    <w:name w:val="toc 5"/>
    <w:basedOn w:val="Normal"/>
    <w:next w:val="Normal"/>
    <w:autoRedefine/>
    <w:uiPriority w:val="39"/>
    <w:unhideWhenUsed/>
    <w:rsid w:val="00F35892"/>
    <w:pPr>
      <w:spacing w:after="0"/>
      <w:ind w:left="660"/>
    </w:pPr>
    <w:rPr>
      <w:sz w:val="20"/>
      <w:szCs w:val="20"/>
    </w:rPr>
  </w:style>
  <w:style w:type="paragraph" w:styleId="TOC6">
    <w:name w:val="toc 6"/>
    <w:basedOn w:val="Normal"/>
    <w:next w:val="Normal"/>
    <w:autoRedefine/>
    <w:uiPriority w:val="39"/>
    <w:unhideWhenUsed/>
    <w:rsid w:val="00F35892"/>
    <w:pPr>
      <w:spacing w:after="0"/>
      <w:ind w:left="880"/>
    </w:pPr>
    <w:rPr>
      <w:sz w:val="20"/>
      <w:szCs w:val="20"/>
    </w:rPr>
  </w:style>
  <w:style w:type="paragraph" w:styleId="TOC7">
    <w:name w:val="toc 7"/>
    <w:basedOn w:val="Normal"/>
    <w:next w:val="Normal"/>
    <w:autoRedefine/>
    <w:uiPriority w:val="39"/>
    <w:unhideWhenUsed/>
    <w:rsid w:val="00F35892"/>
    <w:pPr>
      <w:spacing w:after="0"/>
      <w:ind w:left="1100"/>
    </w:pPr>
    <w:rPr>
      <w:sz w:val="20"/>
      <w:szCs w:val="20"/>
    </w:rPr>
  </w:style>
  <w:style w:type="paragraph" w:styleId="TOC8">
    <w:name w:val="toc 8"/>
    <w:basedOn w:val="Normal"/>
    <w:next w:val="Normal"/>
    <w:autoRedefine/>
    <w:uiPriority w:val="39"/>
    <w:unhideWhenUsed/>
    <w:rsid w:val="00F35892"/>
    <w:pPr>
      <w:spacing w:after="0"/>
      <w:ind w:left="1320"/>
    </w:pPr>
    <w:rPr>
      <w:sz w:val="20"/>
      <w:szCs w:val="20"/>
    </w:rPr>
  </w:style>
  <w:style w:type="paragraph" w:styleId="TOC9">
    <w:name w:val="toc 9"/>
    <w:basedOn w:val="Normal"/>
    <w:next w:val="Normal"/>
    <w:autoRedefine/>
    <w:uiPriority w:val="39"/>
    <w:unhideWhenUsed/>
    <w:rsid w:val="00F35892"/>
    <w:pPr>
      <w:spacing w:after="0"/>
      <w:ind w:left="1540"/>
    </w:pPr>
    <w:rPr>
      <w:sz w:val="20"/>
      <w:szCs w:val="20"/>
    </w:rPr>
  </w:style>
  <w:style w:type="paragraph" w:styleId="NoSpacing">
    <w:name w:val="No Spacing"/>
    <w:uiPriority w:val="1"/>
    <w:qFormat/>
    <w:rsid w:val="00F35892"/>
    <w:rPr>
      <w:rFonts w:cs="Times New Roman (Body CS)"/>
      <w:sz w:val="22"/>
      <w:lang w:val="en-AU"/>
    </w:rPr>
  </w:style>
  <w:style w:type="paragraph" w:styleId="BalloonText">
    <w:name w:val="Balloon Text"/>
    <w:basedOn w:val="Normal"/>
    <w:link w:val="BalloonTextChar"/>
    <w:uiPriority w:val="99"/>
    <w:semiHidden/>
    <w:unhideWhenUsed/>
    <w:rsid w:val="001E13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35E"/>
    <w:rPr>
      <w:rFonts w:ascii="Lucida Grande" w:hAnsi="Lucida Grande" w:cs="Lucida Grande"/>
      <w:sz w:val="18"/>
      <w:szCs w:val="18"/>
      <w:lang w:val="en-AU"/>
    </w:rPr>
  </w:style>
  <w:style w:type="paragraph" w:customStyle="1" w:styleId="Bullets">
    <w:name w:val="Bullets"/>
    <w:basedOn w:val="Normal"/>
    <w:uiPriority w:val="2"/>
    <w:qFormat/>
    <w:rsid w:val="00366517"/>
    <w:pPr>
      <w:numPr>
        <w:numId w:val="21"/>
      </w:numPr>
      <w:spacing w:before="120" w:after="0" w:line="240" w:lineRule="auto"/>
      <w:ind w:right="493"/>
    </w:pPr>
    <w:rPr>
      <w:rFonts w:ascii="Gill Sans MT" w:eastAsia="Calibri" w:hAnsi="Gill Sans MT" w:cstheme="minorBidi"/>
    </w:rPr>
  </w:style>
  <w:style w:type="paragraph" w:customStyle="1" w:styleId="question">
    <w:name w:val="question"/>
    <w:basedOn w:val="Normal"/>
    <w:qFormat/>
    <w:rsid w:val="00B02FCB"/>
    <w:pPr>
      <w:spacing w:before="240" w:after="240"/>
      <w:ind w:left="1843" w:hanging="1877"/>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ustice.tas.gov.au/community-consultation" TargetMode="External"/><Relationship Id="rId18" Type="http://schemas.openxmlformats.org/officeDocument/2006/relationships/hyperlink" Target="http://www.cbos.tas.gov.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haveyoursay@justice.tas.gov.au"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pac.tas.gov.au/divisions/office_of_the_secretary/public_submissions_policy"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bos.info@justice.tas.gov.au"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DPAC Basic Report theme">
  <a:themeElements>
    <a:clrScheme name="DPAC Basic theme">
      <a:dk1>
        <a:sysClr val="windowText" lastClr="000000"/>
      </a:dk1>
      <a:lt1>
        <a:sysClr val="window" lastClr="FFFFFF"/>
      </a:lt1>
      <a:dk2>
        <a:srgbClr val="1E499C"/>
      </a:dk2>
      <a:lt2>
        <a:srgbClr val="564D47"/>
      </a:lt2>
      <a:accent1>
        <a:srgbClr val="0C6269"/>
      </a:accent1>
      <a:accent2>
        <a:srgbClr val="678622"/>
      </a:accent2>
      <a:accent3>
        <a:srgbClr val="FFDC18"/>
      </a:accent3>
      <a:accent4>
        <a:srgbClr val="F16A1B"/>
      </a:accent4>
      <a:accent5>
        <a:srgbClr val="C31F24"/>
      </a:accent5>
      <a:accent6>
        <a:srgbClr val="902586"/>
      </a:accent6>
      <a:hlink>
        <a:srgbClr val="0C61B2"/>
      </a:hlink>
      <a:folHlink>
        <a:srgbClr val="2B4E67"/>
      </a:folHlink>
    </a:clrScheme>
    <a:fontScheme name="Solstice">
      <a:majorFont>
        <a:latin typeface="Gill Sans MT"/>
        <a:ea typeface=""/>
        <a:cs typeface=""/>
        <a:font script="Grek" typeface="Corbel"/>
        <a:font script="Cyrl" typeface="Corbel"/>
        <a:font script="Jpan" typeface="ＭＳ ゴシック"/>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ＭＳ ゴシック"/>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9A57-162B-410E-AA40-46C4F4CE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C8802FBC.dotm</Template>
  <TotalTime>0</TotalTime>
  <Pages>12</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Retail Leases in Tasmania</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Leases in Tasmania</dc:title>
  <dc:subject/>
  <dc:creator>CBOS</dc:creator>
  <cp:keywords/>
  <dc:description/>
  <cp:lastModifiedBy>Holmstrom, Kyle</cp:lastModifiedBy>
  <cp:revision>2</cp:revision>
  <dcterms:created xsi:type="dcterms:W3CDTF">2019-10-07T05:22:00Z</dcterms:created>
  <dcterms:modified xsi:type="dcterms:W3CDTF">2019-10-07T05:22:00Z</dcterms:modified>
  <cp:category>Discussion Paper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0.A</vt:lpwstr>
  </property>
  <property fmtid="{D5CDD505-2E9C-101B-9397-08002B2CF9AE}" pid="3" name="VersionDate">
    <vt:lpwstr>August 2019</vt:lpwstr>
  </property>
</Properties>
</file>