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F579A" w14:textId="77777777" w:rsidR="00010617" w:rsidRPr="000D630E" w:rsidRDefault="00010617" w:rsidP="006876EE">
      <w:pPr>
        <w:pStyle w:val="Title"/>
        <w:rPr>
          <w:sz w:val="66"/>
          <w:szCs w:val="72"/>
          <w:lang w:val="en-AU"/>
        </w:rPr>
      </w:pPr>
    </w:p>
    <w:p w14:paraId="09E0626D" w14:textId="77777777" w:rsidR="00AB487F" w:rsidRPr="000D630E" w:rsidRDefault="00010617" w:rsidP="006876EE">
      <w:pPr>
        <w:pStyle w:val="Title"/>
        <w:rPr>
          <w:sz w:val="66"/>
          <w:szCs w:val="72"/>
          <w:lang w:val="en-AU"/>
        </w:rPr>
      </w:pPr>
      <w:r w:rsidRPr="000D630E">
        <w:rPr>
          <w:sz w:val="66"/>
          <w:szCs w:val="72"/>
          <w:lang w:val="en-AU"/>
        </w:rPr>
        <w:t>Disposal of Uncollected Goods</w:t>
      </w:r>
    </w:p>
    <w:p w14:paraId="002C9AE9" w14:textId="77777777" w:rsidR="00AB487F" w:rsidRPr="000D630E" w:rsidRDefault="00AB487F" w:rsidP="009F4969">
      <w:pPr>
        <w:pStyle w:val="Subtitle"/>
        <w:jc w:val="right"/>
        <w:rPr>
          <w:lang w:val="en-AU"/>
        </w:rPr>
      </w:pPr>
      <w:r w:rsidRPr="000D630E">
        <w:rPr>
          <w:lang w:val="en-AU"/>
        </w:rPr>
        <w:t>D</w:t>
      </w:r>
      <w:r w:rsidR="00010617" w:rsidRPr="000D630E">
        <w:rPr>
          <w:lang w:val="en-AU"/>
        </w:rPr>
        <w:t>iscussion Paper</w:t>
      </w:r>
    </w:p>
    <w:p w14:paraId="4A3F8FAC" w14:textId="77777777" w:rsidR="00AB487F" w:rsidRPr="000D630E" w:rsidRDefault="00AB487F" w:rsidP="00AB487F">
      <w:pPr>
        <w:pStyle w:val="Subtitle"/>
        <w:rPr>
          <w:lang w:val="en-AU"/>
        </w:rPr>
      </w:pPr>
    </w:p>
    <w:p w14:paraId="037787B7" w14:textId="77777777" w:rsidR="00AB487F" w:rsidRPr="000D630E" w:rsidRDefault="00AB487F" w:rsidP="00AB487F">
      <w:pPr>
        <w:rPr>
          <w:lang w:val="en-AU"/>
        </w:rPr>
      </w:pPr>
    </w:p>
    <w:p w14:paraId="1B9E2B42" w14:textId="77777777" w:rsidR="00AB487F" w:rsidRPr="000D630E" w:rsidRDefault="00AB487F" w:rsidP="00AB487F">
      <w:pPr>
        <w:rPr>
          <w:lang w:val="en-AU"/>
        </w:rPr>
      </w:pPr>
    </w:p>
    <w:p w14:paraId="1DEE4A29" w14:textId="77777777" w:rsidR="00AB487F" w:rsidRPr="000D630E" w:rsidRDefault="00AB487F" w:rsidP="00AB487F">
      <w:pPr>
        <w:rPr>
          <w:lang w:val="en-AU"/>
        </w:rPr>
      </w:pPr>
    </w:p>
    <w:p w14:paraId="599FCFCC" w14:textId="77777777" w:rsidR="00B53313" w:rsidRPr="000D630E" w:rsidRDefault="00606B16" w:rsidP="00992163">
      <w:pPr>
        <w:jc w:val="center"/>
        <w:rPr>
          <w:lang w:val="en-AU"/>
        </w:rPr>
        <w:sectPr w:rsidR="00B53313" w:rsidRPr="000D630E" w:rsidSect="00606B16">
          <w:headerReference w:type="even" r:id="rId8"/>
          <w:footerReference w:type="even" r:id="rId9"/>
          <w:headerReference w:type="first" r:id="rId10"/>
          <w:pgSz w:w="11900" w:h="16840"/>
          <w:pgMar w:top="1843" w:right="851" w:bottom="964" w:left="851" w:header="709" w:footer="680" w:gutter="0"/>
          <w:cols w:space="708"/>
          <w:titlePg/>
        </w:sectPr>
      </w:pPr>
      <w:r w:rsidRPr="000D630E">
        <w:rPr>
          <w:noProof/>
          <w:lang w:val="en-AU" w:eastAsia="en-AU"/>
        </w:rPr>
        <w:drawing>
          <wp:anchor distT="0" distB="0" distL="114300" distR="114300" simplePos="0" relativeHeight="251653120" behindDoc="0" locked="1" layoutInCell="1" allowOverlap="1" wp14:anchorId="7EC37BCD" wp14:editId="2C716248">
            <wp:simplePos x="0" y="0"/>
            <wp:positionH relativeFrom="column">
              <wp:posOffset>5537835</wp:posOffset>
            </wp:positionH>
            <wp:positionV relativeFrom="page">
              <wp:posOffset>9378315</wp:posOffset>
            </wp:positionV>
            <wp:extent cx="946785" cy="876935"/>
            <wp:effectExtent l="0" t="0" r="0" b="12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 Gov_no tag_CMYK_vert.png"/>
                    <pic:cNvPicPr/>
                  </pic:nvPicPr>
                  <pic:blipFill>
                    <a:blip r:embed="rId11">
                      <a:extLst>
                        <a:ext uri="{28A0092B-C50C-407E-A947-70E740481C1C}">
                          <a14:useLocalDpi xmlns:a14="http://schemas.microsoft.com/office/drawing/2010/main" val="0"/>
                        </a:ext>
                      </a:extLst>
                    </a:blip>
                    <a:stretch>
                      <a:fillRect/>
                    </a:stretch>
                  </pic:blipFill>
                  <pic:spPr>
                    <a:xfrm>
                      <a:off x="0" y="0"/>
                      <a:ext cx="946785" cy="8769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75484" w:rsidRPr="000D630E">
        <w:rPr>
          <w:noProof/>
          <w:lang w:val="en-AU" w:eastAsia="en-AU"/>
        </w:rPr>
        <mc:AlternateContent>
          <mc:Choice Requires="wps">
            <w:drawing>
              <wp:anchor distT="0" distB="0" distL="114300" distR="114300" simplePos="0" relativeHeight="251652096" behindDoc="0" locked="1" layoutInCell="1" allowOverlap="1" wp14:anchorId="14D432E9" wp14:editId="2BB1C473">
                <wp:simplePos x="0" y="0"/>
                <wp:positionH relativeFrom="column">
                  <wp:posOffset>-71755</wp:posOffset>
                </wp:positionH>
                <wp:positionV relativeFrom="page">
                  <wp:posOffset>9714865</wp:posOffset>
                </wp:positionV>
                <wp:extent cx="5486400" cy="5791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5486400" cy="5791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1D10EF" w14:textId="77777777" w:rsidR="00681600" w:rsidRDefault="00681600" w:rsidP="00900AB7">
                            <w:pPr>
                              <w:pStyle w:val="CoverDepartmentName"/>
                            </w:pPr>
                            <w:r>
                              <w:t>Consumer, Building and Occupational Services</w:t>
                            </w:r>
                            <w:r>
                              <w:br/>
                              <w:t>Department of Justice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432E9" id="_x0000_t202" coordsize="21600,21600" o:spt="202" path="m,l,21600r21600,l21600,xe">
                <v:stroke joinstyle="miter"/>
                <v:path gradientshapeok="t" o:connecttype="rect"/>
              </v:shapetype>
              <v:shape id="Text Box 3" o:spid="_x0000_s1026" type="#_x0000_t202" style="position:absolute;left:0;text-align:left;margin-left:-5.65pt;margin-top:764.95pt;width:6in;height:4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" filled="f" stroked="f">
                <v:textbox inset="0,0,0,0">
                  <w:txbxContent>
                    <w:p w14:paraId="6D1D10EF" w14:textId="77777777" w:rsidR="00681600" w:rsidRDefault="00681600" w:rsidP="00900AB7">
                      <w:pPr>
                        <w:pStyle w:val="CoverDepartmentName"/>
                      </w:pPr>
                      <w:r>
                        <w:t>Consumer, Building and Occupational Services</w:t>
                      </w:r>
                      <w:r>
                        <w:br/>
                        <w:t>Department of Justice</w:t>
                      </w:r>
                    </w:p>
                  </w:txbxContent>
                </v:textbox>
                <w10:wrap anchory="page"/>
                <w10:anchorlock/>
              </v:shape>
            </w:pict>
          </mc:Fallback>
        </mc:AlternateContent>
      </w:r>
      <w:r w:rsidR="00B53313" w:rsidRPr="000D630E">
        <w:rPr>
          <w:lang w:val="en-AU"/>
        </w:rPr>
        <w:softHyphen/>
      </w:r>
      <w:r w:rsidR="00B53313" w:rsidRPr="000D630E">
        <w:rPr>
          <w:lang w:val="en-AU"/>
        </w:rPr>
        <w:softHyphen/>
      </w:r>
      <w:r w:rsidR="00B53313" w:rsidRPr="000D630E">
        <w:rPr>
          <w:lang w:val="en-AU"/>
        </w:rPr>
        <w:softHyphen/>
      </w:r>
      <w:r w:rsidR="00B53313" w:rsidRPr="000D630E">
        <w:rPr>
          <w:lang w:val="en-AU"/>
        </w:rPr>
        <w:softHyphen/>
      </w:r>
      <w:r w:rsidR="00B53313" w:rsidRPr="000D630E">
        <w:rPr>
          <w:lang w:val="en-AU"/>
        </w:rPr>
        <w:softHyphen/>
      </w:r>
      <w:r w:rsidR="00B53313" w:rsidRPr="000D630E">
        <w:rPr>
          <w:lang w:val="en-AU"/>
        </w:rPr>
        <w:softHyphen/>
      </w:r>
      <w:r w:rsidR="00B53313" w:rsidRPr="000D630E">
        <w:rPr>
          <w:lang w:val="en-AU"/>
        </w:rPr>
        <w:softHyphen/>
      </w:r>
      <w:r w:rsidR="00B53313" w:rsidRPr="000D630E">
        <w:rPr>
          <w:lang w:val="en-AU"/>
        </w:rPr>
        <w:softHyphen/>
      </w:r>
    </w:p>
    <w:p w14:paraId="62F3BB32" w14:textId="77777777" w:rsidR="00B53313" w:rsidRPr="000D630E" w:rsidRDefault="00A75546" w:rsidP="00B53313">
      <w:pPr>
        <w:pStyle w:val="Disclaimer"/>
        <w:rPr>
          <w:lang w:val="en-AU"/>
        </w:rPr>
        <w:sectPr w:rsidR="00B53313" w:rsidRPr="000D630E" w:rsidSect="00B53313">
          <w:headerReference w:type="even" r:id="rId12"/>
          <w:footerReference w:type="default" r:id="rId13"/>
          <w:pgSz w:w="11900" w:h="16840"/>
          <w:pgMar w:top="1278" w:right="4529" w:bottom="992" w:left="1701" w:header="709" w:footer="709" w:gutter="0"/>
          <w:cols w:space="708"/>
        </w:sectPr>
      </w:pPr>
      <w:r w:rsidRPr="000D630E">
        <w:rPr>
          <w:noProof/>
          <w:lang w:val="en-AU" w:eastAsia="en-AU"/>
        </w:rPr>
        <w:lastRenderedPageBreak/>
        <mc:AlternateContent>
          <mc:Choice Requires="wps">
            <w:drawing>
              <wp:anchor distT="0" distB="0" distL="114300" distR="114300" simplePos="0" relativeHeight="251658240" behindDoc="0" locked="0" layoutInCell="1" allowOverlap="1" wp14:anchorId="72610D02" wp14:editId="103D0662">
                <wp:simplePos x="0" y="0"/>
                <wp:positionH relativeFrom="column">
                  <wp:posOffset>108585</wp:posOffset>
                </wp:positionH>
                <wp:positionV relativeFrom="paragraph">
                  <wp:posOffset>107949</wp:posOffset>
                </wp:positionV>
                <wp:extent cx="3329940" cy="8505825"/>
                <wp:effectExtent l="0" t="0" r="22860" b="3175"/>
                <wp:wrapNone/>
                <wp:docPr id="11" name="Text Box 11"/>
                <wp:cNvGraphicFramePr/>
                <a:graphic xmlns:a="http://schemas.openxmlformats.org/drawingml/2006/main">
                  <a:graphicData uri="http://schemas.microsoft.com/office/word/2010/wordprocessingShape">
                    <wps:wsp>
                      <wps:cNvSpPr txBox="1"/>
                      <wps:spPr>
                        <a:xfrm>
                          <a:off x="0" y="0"/>
                          <a:ext cx="3329940" cy="85058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D03732" w14:textId="649AE50C" w:rsidR="00681600" w:rsidRPr="006B2B65" w:rsidRDefault="00681600" w:rsidP="00A75546">
                            <w:pPr>
                              <w:pStyle w:val="Disclaimer"/>
                            </w:pPr>
                            <w:r w:rsidRPr="006B2B65">
                              <w:t>D</w:t>
                            </w:r>
                            <w:r>
                              <w:t>ate</w:t>
                            </w:r>
                            <w:r w:rsidRPr="006B2B65">
                              <w:t>:</w:t>
                            </w:r>
                            <w:r>
                              <w:t xml:space="preserve"> January 2019</w:t>
                            </w:r>
                          </w:p>
                          <w:p w14:paraId="77E25E17" w14:textId="6174605B" w:rsidR="00681600" w:rsidRPr="006B2B65" w:rsidRDefault="00681600" w:rsidP="00A75546">
                            <w:pPr>
                              <w:pStyle w:val="Disclaimer"/>
                            </w:pPr>
                            <w:r w:rsidRPr="006B2B65">
                              <w:t>Version:</w:t>
                            </w:r>
                            <w:r>
                              <w:t xml:space="preserve"> 0.A</w:t>
                            </w:r>
                          </w:p>
                          <w:p w14:paraId="42408BE5" w14:textId="0D619703" w:rsidR="00681600" w:rsidRDefault="00681600" w:rsidP="00A75546">
                            <w:pPr>
                              <w:pStyle w:val="Disclaimer"/>
                            </w:pPr>
                            <w:r>
                              <w:t xml:space="preserve">Produced by: Consumer Building and Occupational Services (CBOS), Department of Justice, Tasmanian Government </w:t>
                            </w:r>
                          </w:p>
                          <w:p w14:paraId="075D48C8" w14:textId="77777777" w:rsidR="00681600" w:rsidRPr="006B2B65" w:rsidRDefault="00681600" w:rsidP="00A75546">
                            <w:pPr>
                              <w:pStyle w:val="Disclaimer"/>
                            </w:pPr>
                          </w:p>
                          <w:p w14:paraId="4143ADA1" w14:textId="5F392B26" w:rsidR="00681600" w:rsidRDefault="00681600" w:rsidP="00A75546">
                            <w:pPr>
                              <w:pStyle w:val="Disclaim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10D02" id="Text Box 11" o:spid="_x0000_s1027" type="#_x0000_t202" style="position:absolute;margin-left:8.55pt;margin-top:8.5pt;width:262.2pt;height:6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" filled="f" stroked="f">
                <v:textbox inset="0,0,0,0">
                  <w:txbxContent>
                    <w:p w14:paraId="3DD03732" w14:textId="649AE50C" w:rsidR="00681600" w:rsidRPr="006B2B65" w:rsidRDefault="00681600" w:rsidP="00A75546">
                      <w:pPr>
                        <w:pStyle w:val="Disclaimer"/>
                      </w:pPr>
                      <w:r w:rsidRPr="006B2B65">
                        <w:t>D</w:t>
                      </w:r>
                      <w:r>
                        <w:t>ate</w:t>
                      </w:r>
                      <w:r w:rsidRPr="006B2B65">
                        <w:t>:</w:t>
                      </w:r>
                      <w:r>
                        <w:t xml:space="preserve"> January 2019</w:t>
                      </w:r>
                    </w:p>
                    <w:p w14:paraId="77E25E17" w14:textId="6174605B" w:rsidR="00681600" w:rsidRPr="006B2B65" w:rsidRDefault="00681600" w:rsidP="00A75546">
                      <w:pPr>
                        <w:pStyle w:val="Disclaimer"/>
                      </w:pPr>
                      <w:r w:rsidRPr="006B2B65">
                        <w:t>Version:</w:t>
                      </w:r>
                      <w:r>
                        <w:t xml:space="preserve"> 0.A</w:t>
                      </w:r>
                    </w:p>
                    <w:p w14:paraId="42408BE5" w14:textId="0D619703" w:rsidR="00681600" w:rsidRDefault="00681600" w:rsidP="00A75546">
                      <w:pPr>
                        <w:pStyle w:val="Disclaimer"/>
                      </w:pPr>
                      <w:r>
                        <w:t xml:space="preserve">Produced by: Consumer Building and Occupational Services (CBOS), Department of Justice, Tasmanian Government </w:t>
                      </w:r>
                    </w:p>
                    <w:p w14:paraId="075D48C8" w14:textId="77777777" w:rsidR="00681600" w:rsidRPr="006B2B65" w:rsidRDefault="00681600" w:rsidP="00A75546">
                      <w:pPr>
                        <w:pStyle w:val="Disclaimer"/>
                      </w:pPr>
                    </w:p>
                    <w:p w14:paraId="4143ADA1" w14:textId="5F392B26" w:rsidR="00681600" w:rsidRDefault="00681600" w:rsidP="00A75546">
                      <w:pPr>
                        <w:pStyle w:val="Disclaimer"/>
                      </w:pPr>
                    </w:p>
                  </w:txbxContent>
                </v:textbox>
              </v:shape>
            </w:pict>
          </mc:Fallback>
        </mc:AlternateContent>
      </w:r>
      <w:r w:rsidR="00B53313" w:rsidRPr="000D630E">
        <w:rPr>
          <w:noProof/>
          <w:lang w:val="en-AU" w:eastAsia="en-AU"/>
        </w:rPr>
        <mc:AlternateContent>
          <mc:Choice Requires="wps">
            <w:drawing>
              <wp:anchor distT="0" distB="0" distL="114300" distR="114300" simplePos="0" relativeHeight="251655168" behindDoc="0" locked="0" layoutInCell="1" allowOverlap="1" wp14:anchorId="102A8C6F" wp14:editId="4B5A45F5">
                <wp:simplePos x="0" y="0"/>
                <wp:positionH relativeFrom="column">
                  <wp:posOffset>-7648575</wp:posOffset>
                </wp:positionH>
                <wp:positionV relativeFrom="paragraph">
                  <wp:posOffset>-3982085</wp:posOffset>
                </wp:positionV>
                <wp:extent cx="3329940" cy="8686800"/>
                <wp:effectExtent l="0" t="0" r="22860" b="0"/>
                <wp:wrapNone/>
                <wp:docPr id="8" name="Text Box 8"/>
                <wp:cNvGraphicFramePr/>
                <a:graphic xmlns:a="http://schemas.openxmlformats.org/drawingml/2006/main">
                  <a:graphicData uri="http://schemas.microsoft.com/office/word/2010/wordprocessingShape">
                    <wps:wsp>
                      <wps:cNvSpPr txBox="1"/>
                      <wps:spPr>
                        <a:xfrm>
                          <a:off x="0" y="0"/>
                          <a:ext cx="3329940" cy="86868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A8CFE8" w14:textId="77777777" w:rsidR="00681600" w:rsidRPr="006B2B65" w:rsidRDefault="00681600" w:rsidP="00B53313">
                            <w:pPr>
                              <w:pStyle w:val="Disclaimer"/>
                            </w:pPr>
                            <w:proofErr w:type="gramStart"/>
                            <w:r w:rsidRPr="006B2B65">
                              <w:t>ISBN :</w:t>
                            </w:r>
                            <w:proofErr w:type="gramEnd"/>
                            <w:r w:rsidRPr="006B2B65">
                              <w:t xml:space="preserve"> </w:t>
                            </w:r>
                          </w:p>
                          <w:p w14:paraId="1C3CD77E" w14:textId="77777777" w:rsidR="00681600" w:rsidRPr="006B2B65" w:rsidRDefault="00681600" w:rsidP="00B53313">
                            <w:pPr>
                              <w:pStyle w:val="Disclaimer"/>
                            </w:pPr>
                            <w:proofErr w:type="gramStart"/>
                            <w:r w:rsidRPr="006B2B65">
                              <w:t>Date :</w:t>
                            </w:r>
                            <w:proofErr w:type="gramEnd"/>
                          </w:p>
                          <w:p w14:paraId="6523B8F0" w14:textId="77777777" w:rsidR="00681600" w:rsidRPr="006B2B65" w:rsidRDefault="00681600" w:rsidP="00B53313">
                            <w:pPr>
                              <w:pStyle w:val="Disclaimer"/>
                            </w:pPr>
                            <w:r w:rsidRPr="006B2B65">
                              <w:t>Version:</w:t>
                            </w:r>
                          </w:p>
                          <w:p w14:paraId="267AC9EC" w14:textId="77777777" w:rsidR="00681600" w:rsidRPr="006B2B65" w:rsidRDefault="00681600" w:rsidP="00B53313">
                            <w:pPr>
                              <w:pStyle w:val="Disclaimer"/>
                            </w:pPr>
                          </w:p>
                          <w:p w14:paraId="4FA12A71" w14:textId="77777777" w:rsidR="00681600" w:rsidRDefault="00681600" w:rsidP="00B53313">
                            <w:pPr>
                              <w:pStyle w:val="Disclaimer"/>
                            </w:pPr>
                            <w:r w:rsidRPr="006B2B65">
                              <w:t xml:space="preserve">Disclaimer for as many lines as needed </w:t>
                            </w:r>
                            <w:proofErr w:type="spellStart"/>
                            <w:r w:rsidRPr="006B2B65">
                              <w:t>Epuditis</w:t>
                            </w:r>
                            <w:proofErr w:type="spellEnd"/>
                            <w:r w:rsidRPr="006B2B65">
                              <w:t xml:space="preserve"> </w:t>
                            </w:r>
                            <w:proofErr w:type="spellStart"/>
                            <w:r w:rsidRPr="006B2B65">
                              <w:t>quatis</w:t>
                            </w:r>
                            <w:proofErr w:type="spellEnd"/>
                            <w:r w:rsidRPr="006B2B65">
                              <w:t xml:space="preserve"> </w:t>
                            </w:r>
                            <w:proofErr w:type="spellStart"/>
                            <w:r w:rsidRPr="006B2B65">
                              <w:t>moloreped</w:t>
                            </w:r>
                            <w:proofErr w:type="spellEnd"/>
                            <w:r w:rsidRPr="006B2B65">
                              <w:t xml:space="preserve"> quam </w:t>
                            </w:r>
                            <w:proofErr w:type="spellStart"/>
                            <w:r w:rsidRPr="006B2B65">
                              <w:t>consequi</w:t>
                            </w:r>
                            <w:proofErr w:type="spellEnd"/>
                            <w:r w:rsidRPr="006B2B65">
                              <w:t xml:space="preserve"> </w:t>
                            </w:r>
                            <w:proofErr w:type="spellStart"/>
                            <w:proofErr w:type="gramStart"/>
                            <w:r w:rsidRPr="006B2B65">
                              <w:t>bea</w:t>
                            </w:r>
                            <w:proofErr w:type="spellEnd"/>
                            <w:proofErr w:type="gramEnd"/>
                            <w:r w:rsidRPr="006B2B65">
                              <w:t xml:space="preserve"> </w:t>
                            </w:r>
                            <w:proofErr w:type="spellStart"/>
                            <w:r w:rsidRPr="006B2B65">
                              <w:t>quatem</w:t>
                            </w:r>
                            <w:proofErr w:type="spellEnd"/>
                            <w:r w:rsidRPr="006B2B65">
                              <w:t xml:space="preserve">. </w:t>
                            </w:r>
                            <w:proofErr w:type="spellStart"/>
                            <w:r w:rsidRPr="006B2B65">
                              <w:t>Itatect</w:t>
                            </w:r>
                            <w:proofErr w:type="spellEnd"/>
                            <w:r w:rsidRPr="006B2B65">
                              <w:t xml:space="preserve"> </w:t>
                            </w:r>
                            <w:proofErr w:type="spellStart"/>
                            <w:r w:rsidRPr="006B2B65">
                              <w:t>urepudis</w:t>
                            </w:r>
                            <w:proofErr w:type="spellEnd"/>
                            <w:r w:rsidRPr="006B2B65">
                              <w:t xml:space="preserve"> </w:t>
                            </w:r>
                            <w:proofErr w:type="spellStart"/>
                            <w:r w:rsidRPr="006B2B65">
                              <w:t>maio</w:t>
                            </w:r>
                            <w:proofErr w:type="spellEnd"/>
                            <w:r w:rsidRPr="006B2B65">
                              <w:t xml:space="preserve">. </w:t>
                            </w:r>
                            <w:proofErr w:type="spellStart"/>
                            <w:r w:rsidRPr="006B2B65">
                              <w:t>Nem</w:t>
                            </w:r>
                            <w:proofErr w:type="spellEnd"/>
                            <w:r w:rsidRPr="006B2B65">
                              <w:t xml:space="preserve"> </w:t>
                            </w:r>
                            <w:proofErr w:type="spellStart"/>
                            <w:r w:rsidRPr="006B2B65">
                              <w:t>fugiant</w:t>
                            </w:r>
                            <w:proofErr w:type="spellEnd"/>
                            <w:r w:rsidRPr="006B2B65">
                              <w:t xml:space="preserve"> que </w:t>
                            </w:r>
                            <w:proofErr w:type="spellStart"/>
                            <w:r w:rsidRPr="006B2B65">
                              <w:t>velis</w:t>
                            </w:r>
                            <w:proofErr w:type="spellEnd"/>
                            <w:r w:rsidRPr="006B2B65">
                              <w:t xml:space="preserve"> </w:t>
                            </w:r>
                            <w:proofErr w:type="spellStart"/>
                            <w:r w:rsidRPr="006B2B65">
                              <w:t>aboreptatque</w:t>
                            </w:r>
                            <w:proofErr w:type="spellEnd"/>
                            <w:r w:rsidRPr="006B2B65">
                              <w:t xml:space="preserve"> res </w:t>
                            </w:r>
                            <w:proofErr w:type="spellStart"/>
                            <w:r w:rsidRPr="006B2B65">
                              <w:t>excea</w:t>
                            </w:r>
                            <w:proofErr w:type="spellEnd"/>
                            <w:r w:rsidRPr="006B2B65">
                              <w:t xml:space="preserve"> </w:t>
                            </w:r>
                            <w:proofErr w:type="spellStart"/>
                            <w:r w:rsidRPr="006B2B65">
                              <w:t>sam</w:t>
                            </w:r>
                            <w:proofErr w:type="spellEnd"/>
                            <w:r w:rsidRPr="006B2B65">
                              <w:t xml:space="preserve">, </w:t>
                            </w:r>
                            <w:proofErr w:type="spellStart"/>
                            <w:r w:rsidRPr="006B2B65">
                              <w:t>unt</w:t>
                            </w:r>
                            <w:proofErr w:type="spellEnd"/>
                            <w:r w:rsidRPr="006B2B65">
                              <w:t xml:space="preserve">, </w:t>
                            </w:r>
                            <w:proofErr w:type="spellStart"/>
                            <w:r w:rsidRPr="006B2B65">
                              <w:t>voluptas</w:t>
                            </w:r>
                            <w:proofErr w:type="spellEnd"/>
                            <w:r w:rsidRPr="006B2B65">
                              <w:t xml:space="preserve"> </w:t>
                            </w:r>
                            <w:proofErr w:type="spellStart"/>
                            <w:r w:rsidRPr="006B2B65">
                              <w:t>erum</w:t>
                            </w:r>
                            <w:proofErr w:type="spellEnd"/>
                            <w:r w:rsidRPr="006B2B65">
                              <w:t xml:space="preserve"> </w:t>
                            </w:r>
                            <w:proofErr w:type="spellStart"/>
                            <w:r w:rsidRPr="006B2B65">
                              <w:t>faci</w:t>
                            </w:r>
                            <w:proofErr w:type="spellEnd"/>
                            <w:r w:rsidRPr="006B2B65">
                              <w:t xml:space="preserve"> </w:t>
                            </w:r>
                            <w:proofErr w:type="spellStart"/>
                            <w:r w:rsidRPr="006B2B65">
                              <w:t>reperias</w:t>
                            </w:r>
                            <w:proofErr w:type="spellEnd"/>
                            <w:r w:rsidRPr="006B2B65">
                              <w:t xml:space="preserve"> de </w:t>
                            </w:r>
                            <w:proofErr w:type="spellStart"/>
                            <w:r w:rsidRPr="006B2B65">
                              <w:t>saperfer</w:t>
                            </w:r>
                            <w:proofErr w:type="spellEnd"/>
                            <w:r w:rsidRPr="006B2B65">
                              <w:t xml:space="preserve"> </w:t>
                            </w:r>
                            <w:proofErr w:type="spellStart"/>
                            <w:r w:rsidRPr="006B2B65">
                              <w:t>Dae</w:t>
                            </w:r>
                            <w:proofErr w:type="spellEnd"/>
                            <w:r w:rsidRPr="006B2B65">
                              <w:t xml:space="preserve">. Git </w:t>
                            </w:r>
                            <w:proofErr w:type="spellStart"/>
                            <w:r w:rsidRPr="006B2B65">
                              <w:t>eius</w:t>
                            </w:r>
                            <w:proofErr w:type="spellEnd"/>
                            <w:r w:rsidRPr="006B2B65">
                              <w:t xml:space="preserve"> </w:t>
                            </w:r>
                            <w:proofErr w:type="spellStart"/>
                            <w:r w:rsidRPr="006B2B65">
                              <w:t>experiaecte</w:t>
                            </w:r>
                            <w:proofErr w:type="spellEnd"/>
                            <w:r w:rsidRPr="006B2B65">
                              <w:t xml:space="preserve"> de sae </w:t>
                            </w:r>
                            <w:proofErr w:type="spellStart"/>
                            <w:r w:rsidRPr="006B2B65">
                              <w:t>conseris</w:t>
                            </w:r>
                            <w:proofErr w:type="spellEnd"/>
                            <w:r w:rsidRPr="006B2B65">
                              <w:t xml:space="preserve"> </w:t>
                            </w:r>
                            <w:proofErr w:type="spellStart"/>
                            <w:r w:rsidRPr="006B2B65">
                              <w:t>ellenis</w:t>
                            </w:r>
                            <w:proofErr w:type="spellEnd"/>
                            <w:r w:rsidRPr="006B2B65">
                              <w:t xml:space="preserve"> sin </w:t>
                            </w:r>
                            <w:proofErr w:type="spellStart"/>
                            <w:r w:rsidRPr="006B2B65">
                              <w:t>coratur</w:t>
                            </w:r>
                            <w:proofErr w:type="spellEnd"/>
                            <w:r w:rsidRPr="006B2B65">
                              <w:t xml:space="preserve"> </w:t>
                            </w:r>
                            <w:proofErr w:type="spellStart"/>
                            <w:r w:rsidRPr="006B2B65">
                              <w:t>magnimo</w:t>
                            </w:r>
                            <w:proofErr w:type="spellEnd"/>
                            <w:r w:rsidRPr="006B2B65">
                              <w:t xml:space="preserve"> </w:t>
                            </w:r>
                            <w:proofErr w:type="spellStart"/>
                            <w:r w:rsidRPr="006B2B65">
                              <w:t>luptatur</w:t>
                            </w:r>
                            <w:proofErr w:type="spellEnd"/>
                            <w:r w:rsidRPr="006B2B65">
                              <w:t xml:space="preserve"> sae </w:t>
                            </w:r>
                            <w:proofErr w:type="spellStart"/>
                            <w:r w:rsidRPr="006B2B65">
                              <w:t>nosam</w:t>
                            </w:r>
                            <w:proofErr w:type="spellEnd"/>
                            <w:r w:rsidRPr="006B2B65">
                              <w:t xml:space="preserve"> </w:t>
                            </w:r>
                            <w:proofErr w:type="spellStart"/>
                            <w:r w:rsidRPr="006B2B65">
                              <w:t>nihilit</w:t>
                            </w:r>
                            <w:proofErr w:type="spellEnd"/>
                            <w:r w:rsidRPr="006B2B65">
                              <w:t xml:space="preserve"> que </w:t>
                            </w:r>
                            <w:proofErr w:type="gramStart"/>
                            <w:r w:rsidRPr="006B2B65">
                              <w:t>del</w:t>
                            </w:r>
                            <w:proofErr w:type="gramEnd"/>
                            <w:r w:rsidRPr="006B2B65">
                              <w:t xml:space="preserve"> in </w:t>
                            </w:r>
                            <w:proofErr w:type="spellStart"/>
                            <w:r w:rsidRPr="006B2B65">
                              <w:t>niendis</w:t>
                            </w:r>
                            <w:proofErr w:type="spellEnd"/>
                            <w:r w:rsidRPr="006B2B65">
                              <w:t xml:space="preserve"> </w:t>
                            </w:r>
                            <w:proofErr w:type="spellStart"/>
                            <w:r w:rsidRPr="006B2B65">
                              <w:t>imagnienimus</w:t>
                            </w:r>
                            <w:proofErr w:type="spellEnd"/>
                            <w:r w:rsidRPr="006B2B65">
                              <w:t xml:space="preserve"> </w:t>
                            </w:r>
                            <w:proofErr w:type="spellStart"/>
                            <w:r w:rsidRPr="006B2B65">
                              <w:t>maionsequia</w:t>
                            </w:r>
                            <w:proofErr w:type="spellEnd"/>
                            <w:r w:rsidRPr="006B2B65">
                              <w:t xml:space="preserve"> con et </w:t>
                            </w:r>
                            <w:proofErr w:type="spellStart"/>
                            <w:r w:rsidRPr="006B2B65">
                              <w:t>voluptatint</w:t>
                            </w:r>
                            <w:proofErr w:type="spellEnd"/>
                            <w:r w:rsidRPr="006B2B65">
                              <w:t xml:space="preserve"> que </w:t>
                            </w:r>
                            <w:proofErr w:type="spellStart"/>
                            <w:r w:rsidRPr="006B2B65">
                              <w:t>ducipiduciis</w:t>
                            </w:r>
                            <w:proofErr w:type="spellEnd"/>
                            <w:r w:rsidRPr="006B2B65">
                              <w:t xml:space="preserve"> </w:t>
                            </w:r>
                            <w:proofErr w:type="spellStart"/>
                            <w:r w:rsidRPr="006B2B65">
                              <w:t>earia</w:t>
                            </w:r>
                            <w:proofErr w:type="spellEnd"/>
                            <w:r w:rsidRPr="006B2B65">
                              <w:t xml:space="preserve"> a </w:t>
                            </w:r>
                            <w:proofErr w:type="spellStart"/>
                            <w:r w:rsidRPr="006B2B65">
                              <w:t>vel</w:t>
                            </w:r>
                            <w:proofErr w:type="spellEnd"/>
                            <w:r w:rsidRPr="006B2B65">
                              <w:t xml:space="preserve"> </w:t>
                            </w:r>
                            <w:proofErr w:type="spellStart"/>
                            <w:r w:rsidRPr="006B2B65">
                              <w:t>ius</w:t>
                            </w:r>
                            <w:proofErr w:type="spellEnd"/>
                            <w:r w:rsidRPr="006B2B65">
                              <w:t xml:space="preserve"> </w:t>
                            </w:r>
                            <w:proofErr w:type="spellStart"/>
                            <w:r w:rsidRPr="006B2B65">
                              <w:t>expediorem</w:t>
                            </w:r>
                            <w:proofErr w:type="spellEnd"/>
                            <w:r w:rsidRPr="006B2B65">
                              <w:t xml:space="preserve"> </w:t>
                            </w:r>
                            <w:proofErr w:type="spellStart"/>
                            <w:r w:rsidRPr="006B2B65">
                              <w:t>inusapi</w:t>
                            </w:r>
                            <w:proofErr w:type="spellEnd"/>
                            <w:r w:rsidRPr="006B2B65">
                              <w:t xml:space="preserve"> </w:t>
                            </w:r>
                            <w:proofErr w:type="spellStart"/>
                            <w:r w:rsidRPr="006B2B65">
                              <w:t>ciliti</w:t>
                            </w:r>
                            <w:proofErr w:type="spellEnd"/>
                            <w:r w:rsidRPr="006B2B65">
                              <w:t xml:space="preserve"> </w:t>
                            </w:r>
                            <w:proofErr w:type="spellStart"/>
                            <w:r w:rsidRPr="006B2B65">
                              <w:t>alite</w:t>
                            </w:r>
                            <w:proofErr w:type="spellEnd"/>
                            <w:r w:rsidRPr="006B2B65">
                              <w:t xml:space="preserve"> </w:t>
                            </w:r>
                            <w:proofErr w:type="spellStart"/>
                            <w:r w:rsidRPr="006B2B65">
                              <w:t>voluptasitas</w:t>
                            </w:r>
                            <w:proofErr w:type="spellEnd"/>
                            <w:r w:rsidRPr="006B2B65">
                              <w:t xml:space="preserve"> et </w:t>
                            </w:r>
                            <w:proofErr w:type="spellStart"/>
                            <w:r w:rsidRPr="006B2B65">
                              <w:t>ea</w:t>
                            </w:r>
                            <w:proofErr w:type="spellEnd"/>
                            <w:r w:rsidRPr="006B2B65">
                              <w:t xml:space="preserve"> </w:t>
                            </w:r>
                            <w:proofErr w:type="spellStart"/>
                            <w:r w:rsidRPr="006B2B65">
                              <w:t>sinia</w:t>
                            </w:r>
                            <w:proofErr w:type="spell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A8C6F" id="Text Box 8" o:spid="_x0000_s1028" type="#_x0000_t202" style="position:absolute;margin-left:-602.25pt;margin-top:-313.55pt;width:262.2pt;height:6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" filled="f" stroked="f">
                <v:textbox inset="0,0,0,0">
                  <w:txbxContent>
                    <w:p w14:paraId="39A8CFE8" w14:textId="77777777" w:rsidR="00681600" w:rsidRPr="006B2B65" w:rsidRDefault="00681600" w:rsidP="00B53313">
                      <w:pPr>
                        <w:pStyle w:val="Disclaimer"/>
                      </w:pPr>
                      <w:r w:rsidRPr="006B2B65">
                        <w:t xml:space="preserve">ISBN : </w:t>
                      </w:r>
                    </w:p>
                    <w:p w14:paraId="1C3CD77E" w14:textId="77777777" w:rsidR="00681600" w:rsidRPr="006B2B65" w:rsidRDefault="00681600" w:rsidP="00B53313">
                      <w:pPr>
                        <w:pStyle w:val="Disclaimer"/>
                      </w:pPr>
                      <w:r w:rsidRPr="006B2B65">
                        <w:t>Date :</w:t>
                      </w:r>
                    </w:p>
                    <w:p w14:paraId="6523B8F0" w14:textId="77777777" w:rsidR="00681600" w:rsidRPr="006B2B65" w:rsidRDefault="00681600" w:rsidP="00B53313">
                      <w:pPr>
                        <w:pStyle w:val="Disclaimer"/>
                      </w:pPr>
                      <w:r w:rsidRPr="006B2B65">
                        <w:t>Version:</w:t>
                      </w:r>
                    </w:p>
                    <w:p w14:paraId="267AC9EC" w14:textId="77777777" w:rsidR="00681600" w:rsidRPr="006B2B65" w:rsidRDefault="00681600" w:rsidP="00B53313">
                      <w:pPr>
                        <w:pStyle w:val="Disclaimer"/>
                      </w:pPr>
                    </w:p>
                    <w:p w14:paraId="4FA12A71" w14:textId="77777777" w:rsidR="00681600" w:rsidRDefault="00681600" w:rsidP="00B53313">
                      <w:pPr>
                        <w:pStyle w:val="Disclaimer"/>
                      </w:pPr>
                      <w:r w:rsidRPr="006B2B65">
                        <w:t>Disclaimer for as many lines as needed Epuditis quatis moloreped quam consequi bea quatem. Itatect urepudis maio. Nem fugiant que velis aboreptatque res excea sam, unt, voluptas erum faci reperias de saperfer Dae. Git eius experiaecte de sae conseris ellenis sin coratur magnimo luptatur sae nosam nihilit que del in niendis imagnienimus maionsequia con et voluptatint que ducipiduciis earia a vel ius expediorem inusapi ciliti alite voluptasitas et ea sinia</w:t>
                      </w:r>
                    </w:p>
                  </w:txbxContent>
                </v:textbox>
              </v:shape>
            </w:pict>
          </mc:Fallback>
        </mc:AlternateContent>
      </w:r>
    </w:p>
    <w:sdt>
      <w:sdtPr>
        <w:rPr>
          <w:rFonts w:asciiTheme="minorHAnsi" w:eastAsiaTheme="minorEastAsia" w:hAnsiTheme="minorHAnsi" w:cstheme="minorBidi"/>
          <w:caps w:val="0"/>
          <w:color w:val="auto"/>
          <w:sz w:val="24"/>
          <w:szCs w:val="24"/>
          <w:lang w:val="en-US"/>
        </w:rPr>
        <w:id w:val="1697197405"/>
        <w:docPartObj>
          <w:docPartGallery w:val="Table of Contents"/>
          <w:docPartUnique/>
        </w:docPartObj>
      </w:sdtPr>
      <w:sdtEndPr>
        <w:rPr>
          <w:b/>
          <w:bCs/>
          <w:noProof/>
        </w:rPr>
      </w:sdtEndPr>
      <w:sdtContent>
        <w:p w14:paraId="3B615132" w14:textId="77777777" w:rsidR="009B7393" w:rsidRPr="000D630E" w:rsidRDefault="009B7393" w:rsidP="007225CB">
          <w:pPr>
            <w:pStyle w:val="TOCHeading"/>
          </w:pPr>
          <w:r w:rsidRPr="000D630E">
            <w:t>Table of Contents</w:t>
          </w:r>
        </w:p>
        <w:p w14:paraId="73B8C711" w14:textId="31FF24E4" w:rsidR="00022E5D" w:rsidRDefault="009B7393">
          <w:pPr>
            <w:pStyle w:val="TOC1"/>
            <w:rPr>
              <w:rFonts w:asciiTheme="minorHAnsi" w:hAnsiTheme="minorHAnsi"/>
              <w:noProof/>
              <w:sz w:val="22"/>
              <w:szCs w:val="22"/>
              <w:lang w:val="en-AU" w:eastAsia="en-AU"/>
            </w:rPr>
          </w:pPr>
          <w:r w:rsidRPr="000D630E">
            <w:rPr>
              <w:szCs w:val="20"/>
              <w:lang w:val="en-AU"/>
            </w:rPr>
            <w:fldChar w:fldCharType="begin"/>
          </w:r>
          <w:r w:rsidRPr="000D630E">
            <w:rPr>
              <w:szCs w:val="20"/>
              <w:lang w:val="en-AU"/>
            </w:rPr>
            <w:instrText xml:space="preserve"> TOC \o </w:instrText>
          </w:r>
          <w:r w:rsidRPr="000D630E">
            <w:rPr>
              <w:szCs w:val="20"/>
              <w:lang w:val="en-AU"/>
            </w:rPr>
            <w:fldChar w:fldCharType="separate"/>
          </w:r>
          <w:r w:rsidR="00022E5D">
            <w:rPr>
              <w:noProof/>
            </w:rPr>
            <w:t>Introduction</w:t>
          </w:r>
          <w:r w:rsidR="00022E5D">
            <w:rPr>
              <w:noProof/>
            </w:rPr>
            <w:tab/>
          </w:r>
          <w:r w:rsidR="00022E5D">
            <w:rPr>
              <w:noProof/>
            </w:rPr>
            <w:fldChar w:fldCharType="begin"/>
          </w:r>
          <w:r w:rsidR="00022E5D">
            <w:rPr>
              <w:noProof/>
            </w:rPr>
            <w:instrText xml:space="preserve"> PAGEREF _Toc1132957 \h </w:instrText>
          </w:r>
          <w:r w:rsidR="00022E5D">
            <w:rPr>
              <w:noProof/>
            </w:rPr>
          </w:r>
          <w:r w:rsidR="00022E5D">
            <w:rPr>
              <w:noProof/>
            </w:rPr>
            <w:fldChar w:fldCharType="separate"/>
          </w:r>
          <w:r w:rsidR="00022E5D">
            <w:rPr>
              <w:noProof/>
            </w:rPr>
            <w:t>5</w:t>
          </w:r>
          <w:r w:rsidR="00022E5D">
            <w:rPr>
              <w:noProof/>
            </w:rPr>
            <w:fldChar w:fldCharType="end"/>
          </w:r>
        </w:p>
        <w:p w14:paraId="12B9DB6D" w14:textId="2F96D79C" w:rsidR="00022E5D" w:rsidRDefault="00022E5D">
          <w:pPr>
            <w:pStyle w:val="TOC2"/>
            <w:tabs>
              <w:tab w:val="right" w:leader="dot" w:pos="10188"/>
            </w:tabs>
            <w:rPr>
              <w:rFonts w:asciiTheme="minorHAnsi" w:hAnsiTheme="minorHAnsi"/>
              <w:noProof/>
              <w:sz w:val="22"/>
              <w:lang w:val="en-AU" w:eastAsia="en-AU"/>
            </w:rPr>
          </w:pPr>
          <w:r>
            <w:rPr>
              <w:noProof/>
            </w:rPr>
            <w:t>Submissions</w:t>
          </w:r>
          <w:r>
            <w:rPr>
              <w:noProof/>
            </w:rPr>
            <w:tab/>
          </w:r>
          <w:r>
            <w:rPr>
              <w:noProof/>
            </w:rPr>
            <w:fldChar w:fldCharType="begin"/>
          </w:r>
          <w:r>
            <w:rPr>
              <w:noProof/>
            </w:rPr>
            <w:instrText xml:space="preserve"> PAGEREF _Toc1132958 \h </w:instrText>
          </w:r>
          <w:r>
            <w:rPr>
              <w:noProof/>
            </w:rPr>
          </w:r>
          <w:r>
            <w:rPr>
              <w:noProof/>
            </w:rPr>
            <w:fldChar w:fldCharType="separate"/>
          </w:r>
          <w:r>
            <w:rPr>
              <w:noProof/>
            </w:rPr>
            <w:t>5</w:t>
          </w:r>
          <w:r>
            <w:rPr>
              <w:noProof/>
            </w:rPr>
            <w:fldChar w:fldCharType="end"/>
          </w:r>
        </w:p>
        <w:p w14:paraId="7F23AEFF" w14:textId="71810616" w:rsidR="00022E5D" w:rsidRDefault="00022E5D">
          <w:pPr>
            <w:pStyle w:val="TOC1"/>
            <w:rPr>
              <w:rFonts w:asciiTheme="minorHAnsi" w:hAnsiTheme="minorHAnsi"/>
              <w:noProof/>
              <w:sz w:val="22"/>
              <w:szCs w:val="22"/>
              <w:lang w:val="en-AU" w:eastAsia="en-AU"/>
            </w:rPr>
          </w:pPr>
          <w:r>
            <w:rPr>
              <w:noProof/>
            </w:rPr>
            <w:t>Purpose</w:t>
          </w:r>
          <w:r>
            <w:rPr>
              <w:noProof/>
            </w:rPr>
            <w:tab/>
          </w:r>
          <w:r>
            <w:rPr>
              <w:noProof/>
            </w:rPr>
            <w:fldChar w:fldCharType="begin"/>
          </w:r>
          <w:r>
            <w:rPr>
              <w:noProof/>
            </w:rPr>
            <w:instrText xml:space="preserve"> PAGEREF _Toc1132959 \h </w:instrText>
          </w:r>
          <w:r>
            <w:rPr>
              <w:noProof/>
            </w:rPr>
          </w:r>
          <w:r>
            <w:rPr>
              <w:noProof/>
            </w:rPr>
            <w:fldChar w:fldCharType="separate"/>
          </w:r>
          <w:r>
            <w:rPr>
              <w:noProof/>
            </w:rPr>
            <w:t>6</w:t>
          </w:r>
          <w:r>
            <w:rPr>
              <w:noProof/>
            </w:rPr>
            <w:fldChar w:fldCharType="end"/>
          </w:r>
        </w:p>
        <w:p w14:paraId="16FD7B01" w14:textId="0D3DCCCA" w:rsidR="00022E5D" w:rsidRDefault="00022E5D">
          <w:pPr>
            <w:pStyle w:val="TOC2"/>
            <w:tabs>
              <w:tab w:val="right" w:leader="dot" w:pos="10188"/>
            </w:tabs>
            <w:rPr>
              <w:rFonts w:asciiTheme="minorHAnsi" w:hAnsiTheme="minorHAnsi"/>
              <w:noProof/>
              <w:sz w:val="22"/>
              <w:lang w:val="en-AU" w:eastAsia="en-AU"/>
            </w:rPr>
          </w:pPr>
          <w:r w:rsidRPr="00E231F1">
            <w:rPr>
              <w:noProof/>
              <w:lang w:val="en-AU"/>
            </w:rPr>
            <w:t>Functions of the legislation</w:t>
          </w:r>
          <w:r>
            <w:rPr>
              <w:noProof/>
            </w:rPr>
            <w:tab/>
          </w:r>
          <w:r>
            <w:rPr>
              <w:noProof/>
            </w:rPr>
            <w:fldChar w:fldCharType="begin"/>
          </w:r>
          <w:r>
            <w:rPr>
              <w:noProof/>
            </w:rPr>
            <w:instrText xml:space="preserve"> PAGEREF _Toc1132960 \h </w:instrText>
          </w:r>
          <w:r>
            <w:rPr>
              <w:noProof/>
            </w:rPr>
          </w:r>
          <w:r>
            <w:rPr>
              <w:noProof/>
            </w:rPr>
            <w:fldChar w:fldCharType="separate"/>
          </w:r>
          <w:r>
            <w:rPr>
              <w:noProof/>
            </w:rPr>
            <w:t>6</w:t>
          </w:r>
          <w:r>
            <w:rPr>
              <w:noProof/>
            </w:rPr>
            <w:fldChar w:fldCharType="end"/>
          </w:r>
        </w:p>
        <w:p w14:paraId="15648D56" w14:textId="0782E403" w:rsidR="00022E5D" w:rsidRDefault="00022E5D">
          <w:pPr>
            <w:pStyle w:val="TOC2"/>
            <w:tabs>
              <w:tab w:val="right" w:leader="dot" w:pos="10188"/>
            </w:tabs>
            <w:rPr>
              <w:rFonts w:asciiTheme="minorHAnsi" w:hAnsiTheme="minorHAnsi"/>
              <w:noProof/>
              <w:sz w:val="22"/>
              <w:lang w:val="en-AU" w:eastAsia="en-AU"/>
            </w:rPr>
          </w:pPr>
          <w:r w:rsidRPr="00E231F1">
            <w:rPr>
              <w:noProof/>
              <w:lang w:val="en-AU"/>
            </w:rPr>
            <w:t>Stakeholders</w:t>
          </w:r>
          <w:r>
            <w:rPr>
              <w:noProof/>
            </w:rPr>
            <w:tab/>
          </w:r>
          <w:r>
            <w:rPr>
              <w:noProof/>
            </w:rPr>
            <w:fldChar w:fldCharType="begin"/>
          </w:r>
          <w:r>
            <w:rPr>
              <w:noProof/>
            </w:rPr>
            <w:instrText xml:space="preserve"> PAGEREF _Toc1132961 \h </w:instrText>
          </w:r>
          <w:r>
            <w:rPr>
              <w:noProof/>
            </w:rPr>
          </w:r>
          <w:r>
            <w:rPr>
              <w:noProof/>
            </w:rPr>
            <w:fldChar w:fldCharType="separate"/>
          </w:r>
          <w:r>
            <w:rPr>
              <w:noProof/>
            </w:rPr>
            <w:t>6</w:t>
          </w:r>
          <w:r>
            <w:rPr>
              <w:noProof/>
            </w:rPr>
            <w:fldChar w:fldCharType="end"/>
          </w:r>
        </w:p>
        <w:p w14:paraId="4D8EEA04" w14:textId="4CA85CA3" w:rsidR="00022E5D" w:rsidRDefault="00022E5D">
          <w:pPr>
            <w:pStyle w:val="TOC2"/>
            <w:tabs>
              <w:tab w:val="right" w:leader="dot" w:pos="10188"/>
            </w:tabs>
            <w:rPr>
              <w:rFonts w:asciiTheme="minorHAnsi" w:hAnsiTheme="minorHAnsi"/>
              <w:noProof/>
              <w:sz w:val="22"/>
              <w:lang w:val="en-AU" w:eastAsia="en-AU"/>
            </w:rPr>
          </w:pPr>
          <w:r w:rsidRPr="00E231F1">
            <w:rPr>
              <w:noProof/>
              <w:lang w:val="en-AU"/>
            </w:rPr>
            <w:t>Importance of the legislation</w:t>
          </w:r>
          <w:r>
            <w:rPr>
              <w:noProof/>
            </w:rPr>
            <w:tab/>
          </w:r>
          <w:r>
            <w:rPr>
              <w:noProof/>
            </w:rPr>
            <w:fldChar w:fldCharType="begin"/>
          </w:r>
          <w:r>
            <w:rPr>
              <w:noProof/>
            </w:rPr>
            <w:instrText xml:space="preserve"> PAGEREF _Toc1132962 \h </w:instrText>
          </w:r>
          <w:r>
            <w:rPr>
              <w:noProof/>
            </w:rPr>
          </w:r>
          <w:r>
            <w:rPr>
              <w:noProof/>
            </w:rPr>
            <w:fldChar w:fldCharType="separate"/>
          </w:r>
          <w:r>
            <w:rPr>
              <w:noProof/>
            </w:rPr>
            <w:t>7</w:t>
          </w:r>
          <w:r>
            <w:rPr>
              <w:noProof/>
            </w:rPr>
            <w:fldChar w:fldCharType="end"/>
          </w:r>
        </w:p>
        <w:p w14:paraId="7EB48A1E" w14:textId="5BB2EE6E" w:rsidR="00022E5D" w:rsidRDefault="00022E5D">
          <w:pPr>
            <w:pStyle w:val="TOC1"/>
            <w:rPr>
              <w:rFonts w:asciiTheme="minorHAnsi" w:hAnsiTheme="minorHAnsi"/>
              <w:noProof/>
              <w:sz w:val="22"/>
              <w:szCs w:val="22"/>
              <w:lang w:val="en-AU" w:eastAsia="en-AU"/>
            </w:rPr>
          </w:pPr>
          <w:r>
            <w:rPr>
              <w:noProof/>
            </w:rPr>
            <w:t>Legislation</w:t>
          </w:r>
          <w:r>
            <w:rPr>
              <w:noProof/>
            </w:rPr>
            <w:tab/>
          </w:r>
          <w:r>
            <w:rPr>
              <w:noProof/>
            </w:rPr>
            <w:fldChar w:fldCharType="begin"/>
          </w:r>
          <w:r>
            <w:rPr>
              <w:noProof/>
            </w:rPr>
            <w:instrText xml:space="preserve"> PAGEREF _Toc1132963 \h </w:instrText>
          </w:r>
          <w:r>
            <w:rPr>
              <w:noProof/>
            </w:rPr>
          </w:r>
          <w:r>
            <w:rPr>
              <w:noProof/>
            </w:rPr>
            <w:fldChar w:fldCharType="separate"/>
          </w:r>
          <w:r>
            <w:rPr>
              <w:noProof/>
            </w:rPr>
            <w:t>8</w:t>
          </w:r>
          <w:r>
            <w:rPr>
              <w:noProof/>
            </w:rPr>
            <w:fldChar w:fldCharType="end"/>
          </w:r>
        </w:p>
        <w:p w14:paraId="6F23ABF6" w14:textId="035FC81F" w:rsidR="00022E5D" w:rsidRDefault="00022E5D">
          <w:pPr>
            <w:pStyle w:val="TOC2"/>
            <w:tabs>
              <w:tab w:val="right" w:leader="dot" w:pos="10188"/>
            </w:tabs>
            <w:rPr>
              <w:rFonts w:asciiTheme="minorHAnsi" w:hAnsiTheme="minorHAnsi"/>
              <w:noProof/>
              <w:sz w:val="22"/>
              <w:lang w:val="en-AU" w:eastAsia="en-AU"/>
            </w:rPr>
          </w:pPr>
          <w:r w:rsidRPr="00E231F1">
            <w:rPr>
              <w:noProof/>
              <w:lang w:val="en-AU"/>
            </w:rPr>
            <w:t>Recent amendments to legislation in other States and Territories</w:t>
          </w:r>
          <w:r>
            <w:rPr>
              <w:noProof/>
            </w:rPr>
            <w:tab/>
          </w:r>
          <w:r>
            <w:rPr>
              <w:noProof/>
            </w:rPr>
            <w:fldChar w:fldCharType="begin"/>
          </w:r>
          <w:r>
            <w:rPr>
              <w:noProof/>
            </w:rPr>
            <w:instrText xml:space="preserve"> PAGEREF _Toc1132964 \h </w:instrText>
          </w:r>
          <w:r>
            <w:rPr>
              <w:noProof/>
            </w:rPr>
          </w:r>
          <w:r>
            <w:rPr>
              <w:noProof/>
            </w:rPr>
            <w:fldChar w:fldCharType="separate"/>
          </w:r>
          <w:r>
            <w:rPr>
              <w:noProof/>
            </w:rPr>
            <w:t>8</w:t>
          </w:r>
          <w:r>
            <w:rPr>
              <w:noProof/>
            </w:rPr>
            <w:fldChar w:fldCharType="end"/>
          </w:r>
        </w:p>
        <w:p w14:paraId="4689015D" w14:textId="7E9635F2" w:rsidR="00022E5D" w:rsidRDefault="00022E5D">
          <w:pPr>
            <w:pStyle w:val="TOC3"/>
            <w:tabs>
              <w:tab w:val="right" w:leader="dot" w:pos="10188"/>
            </w:tabs>
            <w:rPr>
              <w:noProof/>
              <w:sz w:val="22"/>
              <w:lang w:val="en-AU" w:eastAsia="en-AU"/>
            </w:rPr>
          </w:pPr>
          <w:r w:rsidRPr="00E231F1">
            <w:rPr>
              <w:noProof/>
              <w:lang w:val="en-AU"/>
            </w:rPr>
            <w:t>New South Wales – Uncollected Goods Regulation 2017</w:t>
          </w:r>
          <w:r>
            <w:rPr>
              <w:noProof/>
            </w:rPr>
            <w:tab/>
          </w:r>
          <w:r>
            <w:rPr>
              <w:noProof/>
            </w:rPr>
            <w:fldChar w:fldCharType="begin"/>
          </w:r>
          <w:r>
            <w:rPr>
              <w:noProof/>
            </w:rPr>
            <w:instrText xml:space="preserve"> PAGEREF _Toc1132965 \h </w:instrText>
          </w:r>
          <w:r>
            <w:rPr>
              <w:noProof/>
            </w:rPr>
          </w:r>
          <w:r>
            <w:rPr>
              <w:noProof/>
            </w:rPr>
            <w:fldChar w:fldCharType="separate"/>
          </w:r>
          <w:r>
            <w:rPr>
              <w:noProof/>
            </w:rPr>
            <w:t>8</w:t>
          </w:r>
          <w:r>
            <w:rPr>
              <w:noProof/>
            </w:rPr>
            <w:fldChar w:fldCharType="end"/>
          </w:r>
        </w:p>
        <w:p w14:paraId="11063683" w14:textId="1DFF64D2" w:rsidR="00022E5D" w:rsidRDefault="00022E5D">
          <w:pPr>
            <w:pStyle w:val="TOC3"/>
            <w:tabs>
              <w:tab w:val="right" w:leader="dot" w:pos="10188"/>
            </w:tabs>
            <w:rPr>
              <w:noProof/>
              <w:sz w:val="22"/>
              <w:lang w:val="en-AU" w:eastAsia="en-AU"/>
            </w:rPr>
          </w:pPr>
          <w:r w:rsidRPr="00E231F1">
            <w:rPr>
              <w:noProof/>
              <w:lang w:val="en-AU"/>
            </w:rPr>
            <w:t xml:space="preserve">Victoria – repealed </w:t>
          </w:r>
          <w:r>
            <w:rPr>
              <w:noProof/>
            </w:rPr>
            <w:t>Disposal of Uncollected Goods Act 1961</w:t>
          </w:r>
          <w:r>
            <w:rPr>
              <w:noProof/>
            </w:rPr>
            <w:tab/>
          </w:r>
          <w:r>
            <w:rPr>
              <w:noProof/>
            </w:rPr>
            <w:fldChar w:fldCharType="begin"/>
          </w:r>
          <w:r>
            <w:rPr>
              <w:noProof/>
            </w:rPr>
            <w:instrText xml:space="preserve"> PAGEREF _Toc1132966 \h </w:instrText>
          </w:r>
          <w:r>
            <w:rPr>
              <w:noProof/>
            </w:rPr>
          </w:r>
          <w:r>
            <w:rPr>
              <w:noProof/>
            </w:rPr>
            <w:fldChar w:fldCharType="separate"/>
          </w:r>
          <w:r>
            <w:rPr>
              <w:noProof/>
            </w:rPr>
            <w:t>8</w:t>
          </w:r>
          <w:r>
            <w:rPr>
              <w:noProof/>
            </w:rPr>
            <w:fldChar w:fldCharType="end"/>
          </w:r>
        </w:p>
        <w:p w14:paraId="3665FE61" w14:textId="4EBB1FAE" w:rsidR="00022E5D" w:rsidRDefault="00022E5D">
          <w:pPr>
            <w:pStyle w:val="TOC3"/>
            <w:tabs>
              <w:tab w:val="right" w:leader="dot" w:pos="10188"/>
            </w:tabs>
            <w:rPr>
              <w:noProof/>
              <w:sz w:val="22"/>
              <w:lang w:val="en-AU" w:eastAsia="en-AU"/>
            </w:rPr>
          </w:pPr>
          <w:r w:rsidRPr="00E231F1">
            <w:rPr>
              <w:noProof/>
              <w:lang w:val="en-AU"/>
            </w:rPr>
            <w:t>South Australia – Unclaimed Goods Regulations 2013</w:t>
          </w:r>
          <w:r>
            <w:rPr>
              <w:noProof/>
            </w:rPr>
            <w:tab/>
          </w:r>
          <w:r>
            <w:rPr>
              <w:noProof/>
            </w:rPr>
            <w:fldChar w:fldCharType="begin"/>
          </w:r>
          <w:r>
            <w:rPr>
              <w:noProof/>
            </w:rPr>
            <w:instrText xml:space="preserve"> PAGEREF _Toc1132967 \h </w:instrText>
          </w:r>
          <w:r>
            <w:rPr>
              <w:noProof/>
            </w:rPr>
          </w:r>
          <w:r>
            <w:rPr>
              <w:noProof/>
            </w:rPr>
            <w:fldChar w:fldCharType="separate"/>
          </w:r>
          <w:r>
            <w:rPr>
              <w:noProof/>
            </w:rPr>
            <w:t>8</w:t>
          </w:r>
          <w:r>
            <w:rPr>
              <w:noProof/>
            </w:rPr>
            <w:fldChar w:fldCharType="end"/>
          </w:r>
        </w:p>
        <w:p w14:paraId="01DCB153" w14:textId="7C7DF8A1" w:rsidR="00022E5D" w:rsidRDefault="00022E5D">
          <w:pPr>
            <w:pStyle w:val="TOC3"/>
            <w:tabs>
              <w:tab w:val="right" w:leader="dot" w:pos="10188"/>
            </w:tabs>
            <w:rPr>
              <w:noProof/>
              <w:sz w:val="22"/>
              <w:lang w:val="en-AU" w:eastAsia="en-AU"/>
            </w:rPr>
          </w:pPr>
          <w:r w:rsidRPr="00E231F1">
            <w:rPr>
              <w:noProof/>
              <w:lang w:val="en-AU"/>
            </w:rPr>
            <w:t>Northern Territory – Uncollected Goods Act 2016</w:t>
          </w:r>
          <w:r>
            <w:rPr>
              <w:noProof/>
            </w:rPr>
            <w:tab/>
          </w:r>
          <w:r>
            <w:rPr>
              <w:noProof/>
            </w:rPr>
            <w:fldChar w:fldCharType="begin"/>
          </w:r>
          <w:r>
            <w:rPr>
              <w:noProof/>
            </w:rPr>
            <w:instrText xml:space="preserve"> PAGEREF _Toc1132968 \h </w:instrText>
          </w:r>
          <w:r>
            <w:rPr>
              <w:noProof/>
            </w:rPr>
          </w:r>
          <w:r>
            <w:rPr>
              <w:noProof/>
            </w:rPr>
            <w:fldChar w:fldCharType="separate"/>
          </w:r>
          <w:r>
            <w:rPr>
              <w:noProof/>
            </w:rPr>
            <w:t>9</w:t>
          </w:r>
          <w:r>
            <w:rPr>
              <w:noProof/>
            </w:rPr>
            <w:fldChar w:fldCharType="end"/>
          </w:r>
        </w:p>
        <w:p w14:paraId="0A8B67B7" w14:textId="0E91220F" w:rsidR="00022E5D" w:rsidRDefault="00022E5D">
          <w:pPr>
            <w:pStyle w:val="TOC3"/>
            <w:tabs>
              <w:tab w:val="right" w:leader="dot" w:pos="10188"/>
            </w:tabs>
            <w:rPr>
              <w:noProof/>
              <w:sz w:val="22"/>
              <w:lang w:val="en-AU" w:eastAsia="en-AU"/>
            </w:rPr>
          </w:pPr>
          <w:r w:rsidRPr="00E231F1">
            <w:rPr>
              <w:noProof/>
              <w:lang w:val="en-AU"/>
            </w:rPr>
            <w:t>Australian Capital Territory – Uncollected Goods Act 1967</w:t>
          </w:r>
          <w:r>
            <w:rPr>
              <w:noProof/>
            </w:rPr>
            <w:tab/>
          </w:r>
          <w:r>
            <w:rPr>
              <w:noProof/>
            </w:rPr>
            <w:fldChar w:fldCharType="begin"/>
          </w:r>
          <w:r>
            <w:rPr>
              <w:noProof/>
            </w:rPr>
            <w:instrText xml:space="preserve"> PAGEREF _Toc1132969 \h </w:instrText>
          </w:r>
          <w:r>
            <w:rPr>
              <w:noProof/>
            </w:rPr>
          </w:r>
          <w:r>
            <w:rPr>
              <w:noProof/>
            </w:rPr>
            <w:fldChar w:fldCharType="separate"/>
          </w:r>
          <w:r>
            <w:rPr>
              <w:noProof/>
            </w:rPr>
            <w:t>9</w:t>
          </w:r>
          <w:r>
            <w:rPr>
              <w:noProof/>
            </w:rPr>
            <w:fldChar w:fldCharType="end"/>
          </w:r>
        </w:p>
        <w:p w14:paraId="2116918E" w14:textId="5C9500EC" w:rsidR="00022E5D" w:rsidRDefault="00022E5D">
          <w:pPr>
            <w:pStyle w:val="TOC2"/>
            <w:tabs>
              <w:tab w:val="right" w:leader="dot" w:pos="10188"/>
            </w:tabs>
            <w:rPr>
              <w:rFonts w:asciiTheme="minorHAnsi" w:hAnsiTheme="minorHAnsi"/>
              <w:noProof/>
              <w:sz w:val="22"/>
              <w:lang w:val="en-AU" w:eastAsia="en-AU"/>
            </w:rPr>
          </w:pPr>
          <w:r w:rsidRPr="00E231F1">
            <w:rPr>
              <w:noProof/>
              <w:lang w:val="en-AU"/>
            </w:rPr>
            <w:t>Available data</w:t>
          </w:r>
          <w:r>
            <w:rPr>
              <w:noProof/>
            </w:rPr>
            <w:tab/>
          </w:r>
          <w:r>
            <w:rPr>
              <w:noProof/>
            </w:rPr>
            <w:fldChar w:fldCharType="begin"/>
          </w:r>
          <w:r>
            <w:rPr>
              <w:noProof/>
            </w:rPr>
            <w:instrText xml:space="preserve"> PAGEREF _Toc1132970 \h </w:instrText>
          </w:r>
          <w:r>
            <w:rPr>
              <w:noProof/>
            </w:rPr>
          </w:r>
          <w:r>
            <w:rPr>
              <w:noProof/>
            </w:rPr>
            <w:fldChar w:fldCharType="separate"/>
          </w:r>
          <w:r>
            <w:rPr>
              <w:noProof/>
            </w:rPr>
            <w:t>9</w:t>
          </w:r>
          <w:r>
            <w:rPr>
              <w:noProof/>
            </w:rPr>
            <w:fldChar w:fldCharType="end"/>
          </w:r>
        </w:p>
        <w:p w14:paraId="79DAB649" w14:textId="7FB9CA15" w:rsidR="00022E5D" w:rsidRDefault="00022E5D">
          <w:pPr>
            <w:pStyle w:val="TOC1"/>
            <w:rPr>
              <w:rFonts w:asciiTheme="minorHAnsi" w:hAnsiTheme="minorHAnsi"/>
              <w:noProof/>
              <w:sz w:val="22"/>
              <w:szCs w:val="22"/>
              <w:lang w:val="en-AU" w:eastAsia="en-AU"/>
            </w:rPr>
          </w:pPr>
          <w:r>
            <w:rPr>
              <w:noProof/>
            </w:rPr>
            <w:t>Analysis</w:t>
          </w:r>
          <w:r>
            <w:rPr>
              <w:noProof/>
            </w:rPr>
            <w:tab/>
          </w:r>
          <w:r>
            <w:rPr>
              <w:noProof/>
            </w:rPr>
            <w:fldChar w:fldCharType="begin"/>
          </w:r>
          <w:r>
            <w:rPr>
              <w:noProof/>
            </w:rPr>
            <w:instrText xml:space="preserve"> PAGEREF _Toc1132971 \h </w:instrText>
          </w:r>
          <w:r>
            <w:rPr>
              <w:noProof/>
            </w:rPr>
          </w:r>
          <w:r>
            <w:rPr>
              <w:noProof/>
            </w:rPr>
            <w:fldChar w:fldCharType="separate"/>
          </w:r>
          <w:r>
            <w:rPr>
              <w:noProof/>
            </w:rPr>
            <w:t>10</w:t>
          </w:r>
          <w:r>
            <w:rPr>
              <w:noProof/>
            </w:rPr>
            <w:fldChar w:fldCharType="end"/>
          </w:r>
        </w:p>
        <w:p w14:paraId="56900AF0" w14:textId="281D61ED" w:rsidR="00022E5D" w:rsidRDefault="00022E5D">
          <w:pPr>
            <w:pStyle w:val="TOC2"/>
            <w:tabs>
              <w:tab w:val="right" w:leader="dot" w:pos="10188"/>
            </w:tabs>
            <w:rPr>
              <w:rFonts w:asciiTheme="minorHAnsi" w:hAnsiTheme="minorHAnsi"/>
              <w:noProof/>
              <w:sz w:val="22"/>
              <w:lang w:val="en-AU" w:eastAsia="en-AU"/>
            </w:rPr>
          </w:pPr>
          <w:r w:rsidRPr="00E231F1">
            <w:rPr>
              <w:noProof/>
              <w:lang w:val="en-AU"/>
            </w:rPr>
            <w:t>Value Categorisation</w:t>
          </w:r>
          <w:r>
            <w:rPr>
              <w:noProof/>
            </w:rPr>
            <w:tab/>
          </w:r>
          <w:r>
            <w:rPr>
              <w:noProof/>
            </w:rPr>
            <w:fldChar w:fldCharType="begin"/>
          </w:r>
          <w:r>
            <w:rPr>
              <w:noProof/>
            </w:rPr>
            <w:instrText xml:space="preserve"> PAGEREF _Toc1132972 \h </w:instrText>
          </w:r>
          <w:r>
            <w:rPr>
              <w:noProof/>
            </w:rPr>
          </w:r>
          <w:r>
            <w:rPr>
              <w:noProof/>
            </w:rPr>
            <w:fldChar w:fldCharType="separate"/>
          </w:r>
          <w:r>
            <w:rPr>
              <w:noProof/>
            </w:rPr>
            <w:t>10</w:t>
          </w:r>
          <w:r>
            <w:rPr>
              <w:noProof/>
            </w:rPr>
            <w:fldChar w:fldCharType="end"/>
          </w:r>
        </w:p>
        <w:p w14:paraId="6F007785" w14:textId="5A0FD7BD" w:rsidR="00022E5D" w:rsidRDefault="00022E5D">
          <w:pPr>
            <w:pStyle w:val="TOC2"/>
            <w:tabs>
              <w:tab w:val="right" w:leader="dot" w:pos="10188"/>
            </w:tabs>
            <w:rPr>
              <w:rFonts w:asciiTheme="minorHAnsi" w:hAnsiTheme="minorHAnsi"/>
              <w:noProof/>
              <w:sz w:val="22"/>
              <w:lang w:val="en-AU" w:eastAsia="en-AU"/>
            </w:rPr>
          </w:pPr>
          <w:r w:rsidRPr="00E231F1">
            <w:rPr>
              <w:noProof/>
              <w:lang w:val="en-AU"/>
            </w:rPr>
            <w:t>Notice Requirements</w:t>
          </w:r>
          <w:r>
            <w:rPr>
              <w:noProof/>
            </w:rPr>
            <w:tab/>
          </w:r>
          <w:r>
            <w:rPr>
              <w:noProof/>
            </w:rPr>
            <w:fldChar w:fldCharType="begin"/>
          </w:r>
          <w:r>
            <w:rPr>
              <w:noProof/>
            </w:rPr>
            <w:instrText xml:space="preserve"> PAGEREF _Toc1132973 \h </w:instrText>
          </w:r>
          <w:r>
            <w:rPr>
              <w:noProof/>
            </w:rPr>
          </w:r>
          <w:r>
            <w:rPr>
              <w:noProof/>
            </w:rPr>
            <w:fldChar w:fldCharType="separate"/>
          </w:r>
          <w:r>
            <w:rPr>
              <w:noProof/>
            </w:rPr>
            <w:t>11</w:t>
          </w:r>
          <w:r>
            <w:rPr>
              <w:noProof/>
            </w:rPr>
            <w:fldChar w:fldCharType="end"/>
          </w:r>
        </w:p>
        <w:p w14:paraId="7FF61D74" w14:textId="7E11B184" w:rsidR="00022E5D" w:rsidRDefault="00022E5D">
          <w:pPr>
            <w:pStyle w:val="TOC2"/>
            <w:tabs>
              <w:tab w:val="right" w:leader="dot" w:pos="10188"/>
            </w:tabs>
            <w:rPr>
              <w:rFonts w:asciiTheme="minorHAnsi" w:hAnsiTheme="minorHAnsi"/>
              <w:noProof/>
              <w:sz w:val="22"/>
              <w:lang w:val="en-AU" w:eastAsia="en-AU"/>
            </w:rPr>
          </w:pPr>
          <w:r w:rsidRPr="00E231F1">
            <w:rPr>
              <w:noProof/>
              <w:lang w:val="en-AU"/>
            </w:rPr>
            <w:t>Retention Period</w:t>
          </w:r>
          <w:r>
            <w:rPr>
              <w:noProof/>
            </w:rPr>
            <w:tab/>
          </w:r>
          <w:r>
            <w:rPr>
              <w:noProof/>
            </w:rPr>
            <w:fldChar w:fldCharType="begin"/>
          </w:r>
          <w:r>
            <w:rPr>
              <w:noProof/>
            </w:rPr>
            <w:instrText xml:space="preserve"> PAGEREF _Toc1132974 \h </w:instrText>
          </w:r>
          <w:r>
            <w:rPr>
              <w:noProof/>
            </w:rPr>
          </w:r>
          <w:r>
            <w:rPr>
              <w:noProof/>
            </w:rPr>
            <w:fldChar w:fldCharType="separate"/>
          </w:r>
          <w:r>
            <w:rPr>
              <w:noProof/>
            </w:rPr>
            <w:t>11</w:t>
          </w:r>
          <w:r>
            <w:rPr>
              <w:noProof/>
            </w:rPr>
            <w:fldChar w:fldCharType="end"/>
          </w:r>
        </w:p>
        <w:p w14:paraId="1FD4D9F6" w14:textId="43C231CC" w:rsidR="00022E5D" w:rsidRDefault="00022E5D">
          <w:pPr>
            <w:pStyle w:val="TOC2"/>
            <w:tabs>
              <w:tab w:val="right" w:leader="dot" w:pos="10188"/>
            </w:tabs>
            <w:rPr>
              <w:rFonts w:asciiTheme="minorHAnsi" w:hAnsiTheme="minorHAnsi"/>
              <w:noProof/>
              <w:sz w:val="22"/>
              <w:lang w:val="en-AU" w:eastAsia="en-AU"/>
            </w:rPr>
          </w:pPr>
          <w:r w:rsidRPr="00E231F1">
            <w:rPr>
              <w:noProof/>
              <w:lang w:val="en-AU"/>
            </w:rPr>
            <w:t>Method of Disposal</w:t>
          </w:r>
          <w:r>
            <w:rPr>
              <w:noProof/>
            </w:rPr>
            <w:tab/>
          </w:r>
          <w:r>
            <w:rPr>
              <w:noProof/>
            </w:rPr>
            <w:fldChar w:fldCharType="begin"/>
          </w:r>
          <w:r>
            <w:rPr>
              <w:noProof/>
            </w:rPr>
            <w:instrText xml:space="preserve"> PAGEREF _Toc1132975 \h </w:instrText>
          </w:r>
          <w:r>
            <w:rPr>
              <w:noProof/>
            </w:rPr>
          </w:r>
          <w:r>
            <w:rPr>
              <w:noProof/>
            </w:rPr>
            <w:fldChar w:fldCharType="separate"/>
          </w:r>
          <w:r>
            <w:rPr>
              <w:noProof/>
            </w:rPr>
            <w:t>12</w:t>
          </w:r>
          <w:r>
            <w:rPr>
              <w:noProof/>
            </w:rPr>
            <w:fldChar w:fldCharType="end"/>
          </w:r>
        </w:p>
        <w:p w14:paraId="43BA7EB8" w14:textId="536548EB" w:rsidR="00022E5D" w:rsidRDefault="00022E5D">
          <w:pPr>
            <w:pStyle w:val="TOC2"/>
            <w:tabs>
              <w:tab w:val="right" w:leader="dot" w:pos="10188"/>
            </w:tabs>
            <w:rPr>
              <w:rFonts w:asciiTheme="minorHAnsi" w:hAnsiTheme="minorHAnsi"/>
              <w:noProof/>
              <w:sz w:val="22"/>
              <w:lang w:val="en-AU" w:eastAsia="en-AU"/>
            </w:rPr>
          </w:pPr>
          <w:r w:rsidRPr="00E231F1">
            <w:rPr>
              <w:noProof/>
              <w:lang w:val="en-AU"/>
            </w:rPr>
            <w:t>Perishable Goods</w:t>
          </w:r>
          <w:r>
            <w:rPr>
              <w:noProof/>
            </w:rPr>
            <w:tab/>
          </w:r>
          <w:r>
            <w:rPr>
              <w:noProof/>
            </w:rPr>
            <w:fldChar w:fldCharType="begin"/>
          </w:r>
          <w:r>
            <w:rPr>
              <w:noProof/>
            </w:rPr>
            <w:instrText xml:space="preserve"> PAGEREF _Toc1132976 \h </w:instrText>
          </w:r>
          <w:r>
            <w:rPr>
              <w:noProof/>
            </w:rPr>
          </w:r>
          <w:r>
            <w:rPr>
              <w:noProof/>
            </w:rPr>
            <w:fldChar w:fldCharType="separate"/>
          </w:r>
          <w:r>
            <w:rPr>
              <w:noProof/>
            </w:rPr>
            <w:t>12</w:t>
          </w:r>
          <w:r>
            <w:rPr>
              <w:noProof/>
            </w:rPr>
            <w:fldChar w:fldCharType="end"/>
          </w:r>
        </w:p>
        <w:p w14:paraId="649C3634" w14:textId="5B2A508C" w:rsidR="00022E5D" w:rsidRDefault="00022E5D">
          <w:pPr>
            <w:pStyle w:val="TOC2"/>
            <w:tabs>
              <w:tab w:val="right" w:leader="dot" w:pos="10188"/>
            </w:tabs>
            <w:rPr>
              <w:rFonts w:asciiTheme="minorHAnsi" w:hAnsiTheme="minorHAnsi"/>
              <w:noProof/>
              <w:sz w:val="22"/>
              <w:lang w:val="en-AU" w:eastAsia="en-AU"/>
            </w:rPr>
          </w:pPr>
          <w:r w:rsidRPr="00E231F1">
            <w:rPr>
              <w:noProof/>
              <w:lang w:val="en-AU"/>
            </w:rPr>
            <w:t>Motor Vehicles</w:t>
          </w:r>
          <w:r>
            <w:rPr>
              <w:noProof/>
            </w:rPr>
            <w:tab/>
          </w:r>
          <w:r>
            <w:rPr>
              <w:noProof/>
            </w:rPr>
            <w:fldChar w:fldCharType="begin"/>
          </w:r>
          <w:r>
            <w:rPr>
              <w:noProof/>
            </w:rPr>
            <w:instrText xml:space="preserve"> PAGEREF _Toc1132977 \h </w:instrText>
          </w:r>
          <w:r>
            <w:rPr>
              <w:noProof/>
            </w:rPr>
          </w:r>
          <w:r>
            <w:rPr>
              <w:noProof/>
            </w:rPr>
            <w:fldChar w:fldCharType="separate"/>
          </w:r>
          <w:r>
            <w:rPr>
              <w:noProof/>
            </w:rPr>
            <w:t>12</w:t>
          </w:r>
          <w:r>
            <w:rPr>
              <w:noProof/>
            </w:rPr>
            <w:fldChar w:fldCharType="end"/>
          </w:r>
        </w:p>
        <w:p w14:paraId="57D84F2B" w14:textId="62EE4A37" w:rsidR="00022E5D" w:rsidRDefault="00022E5D">
          <w:pPr>
            <w:pStyle w:val="TOC1"/>
            <w:rPr>
              <w:rFonts w:asciiTheme="minorHAnsi" w:hAnsiTheme="minorHAnsi"/>
              <w:noProof/>
              <w:sz w:val="22"/>
              <w:szCs w:val="22"/>
              <w:lang w:val="en-AU" w:eastAsia="en-AU"/>
            </w:rPr>
          </w:pPr>
          <w:r>
            <w:rPr>
              <w:noProof/>
            </w:rPr>
            <w:t>Insights</w:t>
          </w:r>
          <w:r>
            <w:rPr>
              <w:noProof/>
            </w:rPr>
            <w:tab/>
          </w:r>
          <w:r>
            <w:rPr>
              <w:noProof/>
            </w:rPr>
            <w:fldChar w:fldCharType="begin"/>
          </w:r>
          <w:r>
            <w:rPr>
              <w:noProof/>
            </w:rPr>
            <w:instrText xml:space="preserve"> PAGEREF _Toc1132978 \h </w:instrText>
          </w:r>
          <w:r>
            <w:rPr>
              <w:noProof/>
            </w:rPr>
          </w:r>
          <w:r>
            <w:rPr>
              <w:noProof/>
            </w:rPr>
            <w:fldChar w:fldCharType="separate"/>
          </w:r>
          <w:r>
            <w:rPr>
              <w:noProof/>
            </w:rPr>
            <w:t>14</w:t>
          </w:r>
          <w:r>
            <w:rPr>
              <w:noProof/>
            </w:rPr>
            <w:fldChar w:fldCharType="end"/>
          </w:r>
        </w:p>
        <w:p w14:paraId="2061FC24" w14:textId="3CFE6FDD" w:rsidR="00022E5D" w:rsidRDefault="00022E5D">
          <w:pPr>
            <w:pStyle w:val="TOC1"/>
            <w:rPr>
              <w:rFonts w:asciiTheme="minorHAnsi" w:hAnsiTheme="minorHAnsi"/>
              <w:noProof/>
              <w:sz w:val="22"/>
              <w:szCs w:val="22"/>
              <w:lang w:val="en-AU" w:eastAsia="en-AU"/>
            </w:rPr>
          </w:pPr>
          <w:r>
            <w:rPr>
              <w:noProof/>
            </w:rPr>
            <w:t>Strategy</w:t>
          </w:r>
          <w:r>
            <w:rPr>
              <w:noProof/>
            </w:rPr>
            <w:tab/>
          </w:r>
          <w:r>
            <w:rPr>
              <w:noProof/>
            </w:rPr>
            <w:fldChar w:fldCharType="begin"/>
          </w:r>
          <w:r>
            <w:rPr>
              <w:noProof/>
            </w:rPr>
            <w:instrText xml:space="preserve"> PAGEREF _Toc1132979 \h </w:instrText>
          </w:r>
          <w:r>
            <w:rPr>
              <w:noProof/>
            </w:rPr>
          </w:r>
          <w:r>
            <w:rPr>
              <w:noProof/>
            </w:rPr>
            <w:fldChar w:fldCharType="separate"/>
          </w:r>
          <w:r>
            <w:rPr>
              <w:noProof/>
            </w:rPr>
            <w:t>16</w:t>
          </w:r>
          <w:r>
            <w:rPr>
              <w:noProof/>
            </w:rPr>
            <w:fldChar w:fldCharType="end"/>
          </w:r>
        </w:p>
        <w:p w14:paraId="6A12AA8C" w14:textId="6CE8336D" w:rsidR="00022E5D" w:rsidRDefault="00022E5D">
          <w:pPr>
            <w:pStyle w:val="TOC2"/>
            <w:tabs>
              <w:tab w:val="right" w:leader="dot" w:pos="10188"/>
            </w:tabs>
            <w:rPr>
              <w:rFonts w:asciiTheme="minorHAnsi" w:hAnsiTheme="minorHAnsi"/>
              <w:noProof/>
              <w:sz w:val="22"/>
              <w:lang w:val="en-AU" w:eastAsia="en-AU"/>
            </w:rPr>
          </w:pPr>
          <w:r w:rsidRPr="00E231F1">
            <w:rPr>
              <w:noProof/>
              <w:lang w:val="en-AU"/>
            </w:rPr>
            <w:t>Option 1: Status quo</w:t>
          </w:r>
          <w:r>
            <w:rPr>
              <w:noProof/>
            </w:rPr>
            <w:tab/>
          </w:r>
          <w:r>
            <w:rPr>
              <w:noProof/>
            </w:rPr>
            <w:fldChar w:fldCharType="begin"/>
          </w:r>
          <w:r>
            <w:rPr>
              <w:noProof/>
            </w:rPr>
            <w:instrText xml:space="preserve"> PAGEREF _Toc1132980 \h </w:instrText>
          </w:r>
          <w:r>
            <w:rPr>
              <w:noProof/>
            </w:rPr>
          </w:r>
          <w:r>
            <w:rPr>
              <w:noProof/>
            </w:rPr>
            <w:fldChar w:fldCharType="separate"/>
          </w:r>
          <w:r>
            <w:rPr>
              <w:noProof/>
            </w:rPr>
            <w:t>16</w:t>
          </w:r>
          <w:r>
            <w:rPr>
              <w:noProof/>
            </w:rPr>
            <w:fldChar w:fldCharType="end"/>
          </w:r>
        </w:p>
        <w:p w14:paraId="6925A2E9" w14:textId="086EA9C2" w:rsidR="00022E5D" w:rsidRDefault="00022E5D">
          <w:pPr>
            <w:pStyle w:val="TOC2"/>
            <w:tabs>
              <w:tab w:val="right" w:leader="dot" w:pos="10188"/>
            </w:tabs>
            <w:rPr>
              <w:rFonts w:asciiTheme="minorHAnsi" w:hAnsiTheme="minorHAnsi"/>
              <w:noProof/>
              <w:sz w:val="22"/>
              <w:lang w:val="en-AU" w:eastAsia="en-AU"/>
            </w:rPr>
          </w:pPr>
          <w:r w:rsidRPr="00E231F1">
            <w:rPr>
              <w:noProof/>
              <w:lang w:val="en-AU"/>
            </w:rPr>
            <w:t>Option 2: Create value categories</w:t>
          </w:r>
          <w:r>
            <w:rPr>
              <w:noProof/>
            </w:rPr>
            <w:tab/>
          </w:r>
          <w:r>
            <w:rPr>
              <w:noProof/>
            </w:rPr>
            <w:fldChar w:fldCharType="begin"/>
          </w:r>
          <w:r>
            <w:rPr>
              <w:noProof/>
            </w:rPr>
            <w:instrText xml:space="preserve"> PAGEREF _Toc1132981 \h </w:instrText>
          </w:r>
          <w:r>
            <w:rPr>
              <w:noProof/>
            </w:rPr>
          </w:r>
          <w:r>
            <w:rPr>
              <w:noProof/>
            </w:rPr>
            <w:fldChar w:fldCharType="separate"/>
          </w:r>
          <w:r>
            <w:rPr>
              <w:noProof/>
            </w:rPr>
            <w:t>17</w:t>
          </w:r>
          <w:r>
            <w:rPr>
              <w:noProof/>
            </w:rPr>
            <w:fldChar w:fldCharType="end"/>
          </w:r>
        </w:p>
        <w:p w14:paraId="63E7AD9E" w14:textId="612888BA" w:rsidR="00022E5D" w:rsidRDefault="00022E5D">
          <w:pPr>
            <w:pStyle w:val="TOC2"/>
            <w:tabs>
              <w:tab w:val="right" w:leader="dot" w:pos="10188"/>
            </w:tabs>
            <w:rPr>
              <w:rFonts w:asciiTheme="minorHAnsi" w:hAnsiTheme="minorHAnsi"/>
              <w:noProof/>
              <w:sz w:val="22"/>
              <w:lang w:val="en-AU" w:eastAsia="en-AU"/>
            </w:rPr>
          </w:pPr>
          <w:r w:rsidRPr="00E231F1">
            <w:rPr>
              <w:noProof/>
              <w:lang w:val="en-AU"/>
            </w:rPr>
            <w:t>Option 3: Create value categories with additional categories for motor vehicles</w:t>
          </w:r>
          <w:r>
            <w:rPr>
              <w:noProof/>
            </w:rPr>
            <w:tab/>
          </w:r>
          <w:r>
            <w:rPr>
              <w:noProof/>
            </w:rPr>
            <w:fldChar w:fldCharType="begin"/>
          </w:r>
          <w:r>
            <w:rPr>
              <w:noProof/>
            </w:rPr>
            <w:instrText xml:space="preserve"> PAGEREF _Toc1132982 \h </w:instrText>
          </w:r>
          <w:r>
            <w:rPr>
              <w:noProof/>
            </w:rPr>
          </w:r>
          <w:r>
            <w:rPr>
              <w:noProof/>
            </w:rPr>
            <w:fldChar w:fldCharType="separate"/>
          </w:r>
          <w:r>
            <w:rPr>
              <w:noProof/>
            </w:rPr>
            <w:t>17</w:t>
          </w:r>
          <w:r>
            <w:rPr>
              <w:noProof/>
            </w:rPr>
            <w:fldChar w:fldCharType="end"/>
          </w:r>
        </w:p>
        <w:p w14:paraId="49FC7298" w14:textId="23D157C4" w:rsidR="00022E5D" w:rsidRDefault="00022E5D">
          <w:pPr>
            <w:pStyle w:val="TOC2"/>
            <w:tabs>
              <w:tab w:val="right" w:leader="dot" w:pos="10188"/>
            </w:tabs>
            <w:rPr>
              <w:rFonts w:asciiTheme="minorHAnsi" w:hAnsiTheme="minorHAnsi"/>
              <w:noProof/>
              <w:sz w:val="22"/>
              <w:lang w:val="en-AU" w:eastAsia="en-AU"/>
            </w:rPr>
          </w:pPr>
          <w:r w:rsidRPr="00E231F1">
            <w:rPr>
              <w:noProof/>
              <w:lang w:val="en-AU"/>
            </w:rPr>
            <w:t>Option 4 – Create value categories with additional categories for motor vehicles and perishable goods</w:t>
          </w:r>
          <w:r>
            <w:rPr>
              <w:noProof/>
            </w:rPr>
            <w:tab/>
          </w:r>
          <w:r>
            <w:rPr>
              <w:noProof/>
            </w:rPr>
            <w:fldChar w:fldCharType="begin"/>
          </w:r>
          <w:r>
            <w:rPr>
              <w:noProof/>
            </w:rPr>
            <w:instrText xml:space="preserve"> PAGEREF _Toc1132983 \h </w:instrText>
          </w:r>
          <w:r>
            <w:rPr>
              <w:noProof/>
            </w:rPr>
          </w:r>
          <w:r>
            <w:rPr>
              <w:noProof/>
            </w:rPr>
            <w:fldChar w:fldCharType="separate"/>
          </w:r>
          <w:r>
            <w:rPr>
              <w:noProof/>
            </w:rPr>
            <w:t>18</w:t>
          </w:r>
          <w:r>
            <w:rPr>
              <w:noProof/>
            </w:rPr>
            <w:fldChar w:fldCharType="end"/>
          </w:r>
        </w:p>
        <w:p w14:paraId="74C51625" w14:textId="06BA9717" w:rsidR="00022E5D" w:rsidRDefault="00022E5D">
          <w:pPr>
            <w:pStyle w:val="TOC2"/>
            <w:tabs>
              <w:tab w:val="right" w:leader="dot" w:pos="10188"/>
            </w:tabs>
            <w:rPr>
              <w:rFonts w:asciiTheme="minorHAnsi" w:hAnsiTheme="minorHAnsi"/>
              <w:noProof/>
              <w:sz w:val="22"/>
              <w:lang w:val="en-AU" w:eastAsia="en-AU"/>
            </w:rPr>
          </w:pPr>
          <w:r w:rsidRPr="00E231F1">
            <w:rPr>
              <w:noProof/>
              <w:lang w:val="en-AU"/>
            </w:rPr>
            <w:t>Proposed Categories</w:t>
          </w:r>
          <w:r>
            <w:rPr>
              <w:noProof/>
            </w:rPr>
            <w:tab/>
          </w:r>
          <w:r>
            <w:rPr>
              <w:noProof/>
            </w:rPr>
            <w:fldChar w:fldCharType="begin"/>
          </w:r>
          <w:r>
            <w:rPr>
              <w:noProof/>
            </w:rPr>
            <w:instrText xml:space="preserve"> PAGEREF _Toc1132984 \h </w:instrText>
          </w:r>
          <w:r>
            <w:rPr>
              <w:noProof/>
            </w:rPr>
          </w:r>
          <w:r>
            <w:rPr>
              <w:noProof/>
            </w:rPr>
            <w:fldChar w:fldCharType="separate"/>
          </w:r>
          <w:r>
            <w:rPr>
              <w:noProof/>
            </w:rPr>
            <w:t>19</w:t>
          </w:r>
          <w:r>
            <w:rPr>
              <w:noProof/>
            </w:rPr>
            <w:fldChar w:fldCharType="end"/>
          </w:r>
        </w:p>
        <w:p w14:paraId="47EF7CFB" w14:textId="590248F2" w:rsidR="00022E5D" w:rsidRDefault="00022E5D">
          <w:pPr>
            <w:pStyle w:val="TOC2"/>
            <w:tabs>
              <w:tab w:val="right" w:leader="dot" w:pos="10188"/>
            </w:tabs>
            <w:rPr>
              <w:rFonts w:asciiTheme="minorHAnsi" w:hAnsiTheme="minorHAnsi"/>
              <w:noProof/>
              <w:sz w:val="22"/>
              <w:lang w:val="en-AU" w:eastAsia="en-AU"/>
            </w:rPr>
          </w:pPr>
          <w:r>
            <w:rPr>
              <w:noProof/>
            </w:rPr>
            <w:t>Appendix 1</w:t>
          </w:r>
          <w:r>
            <w:rPr>
              <w:noProof/>
            </w:rPr>
            <w:tab/>
          </w:r>
          <w:r>
            <w:rPr>
              <w:noProof/>
            </w:rPr>
            <w:fldChar w:fldCharType="begin"/>
          </w:r>
          <w:r>
            <w:rPr>
              <w:noProof/>
            </w:rPr>
            <w:instrText xml:space="preserve"> PAGEREF _Toc1132985 \h </w:instrText>
          </w:r>
          <w:r>
            <w:rPr>
              <w:noProof/>
            </w:rPr>
          </w:r>
          <w:r>
            <w:rPr>
              <w:noProof/>
            </w:rPr>
            <w:fldChar w:fldCharType="separate"/>
          </w:r>
          <w:r>
            <w:rPr>
              <w:noProof/>
            </w:rPr>
            <w:t>21</w:t>
          </w:r>
          <w:r>
            <w:rPr>
              <w:noProof/>
            </w:rPr>
            <w:fldChar w:fldCharType="end"/>
          </w:r>
        </w:p>
        <w:p w14:paraId="499A869E" w14:textId="21B12C98" w:rsidR="00022E5D" w:rsidRDefault="00022E5D">
          <w:pPr>
            <w:pStyle w:val="TOC2"/>
            <w:tabs>
              <w:tab w:val="right" w:leader="dot" w:pos="10188"/>
            </w:tabs>
            <w:rPr>
              <w:rFonts w:asciiTheme="minorHAnsi" w:hAnsiTheme="minorHAnsi"/>
              <w:noProof/>
              <w:sz w:val="22"/>
              <w:lang w:val="en-AU" w:eastAsia="en-AU"/>
            </w:rPr>
          </w:pPr>
          <w:r w:rsidRPr="00E231F1">
            <w:rPr>
              <w:noProof/>
              <w:lang w:val="en-AU"/>
            </w:rPr>
            <w:t>Have your say</w:t>
          </w:r>
          <w:r>
            <w:rPr>
              <w:noProof/>
            </w:rPr>
            <w:tab/>
          </w:r>
          <w:r>
            <w:rPr>
              <w:noProof/>
            </w:rPr>
            <w:fldChar w:fldCharType="begin"/>
          </w:r>
          <w:r>
            <w:rPr>
              <w:noProof/>
            </w:rPr>
            <w:instrText xml:space="preserve"> PAGEREF _Toc1132986 \h </w:instrText>
          </w:r>
          <w:r>
            <w:rPr>
              <w:noProof/>
            </w:rPr>
          </w:r>
          <w:r>
            <w:rPr>
              <w:noProof/>
            </w:rPr>
            <w:fldChar w:fldCharType="separate"/>
          </w:r>
          <w:r>
            <w:rPr>
              <w:noProof/>
            </w:rPr>
            <w:t>34</w:t>
          </w:r>
          <w:r>
            <w:rPr>
              <w:noProof/>
            </w:rPr>
            <w:fldChar w:fldCharType="end"/>
          </w:r>
        </w:p>
        <w:p w14:paraId="482B48A5" w14:textId="15D35275" w:rsidR="00022E5D" w:rsidRDefault="00022E5D">
          <w:pPr>
            <w:pStyle w:val="TOC2"/>
            <w:tabs>
              <w:tab w:val="right" w:leader="dot" w:pos="10188"/>
            </w:tabs>
            <w:rPr>
              <w:rFonts w:asciiTheme="minorHAnsi" w:hAnsiTheme="minorHAnsi"/>
              <w:noProof/>
              <w:sz w:val="22"/>
              <w:lang w:val="en-AU" w:eastAsia="en-AU"/>
            </w:rPr>
          </w:pPr>
          <w:r>
            <w:rPr>
              <w:noProof/>
            </w:rPr>
            <w:t>How to lodge submissions</w:t>
          </w:r>
          <w:r>
            <w:rPr>
              <w:noProof/>
            </w:rPr>
            <w:tab/>
          </w:r>
          <w:r>
            <w:rPr>
              <w:noProof/>
            </w:rPr>
            <w:fldChar w:fldCharType="begin"/>
          </w:r>
          <w:r>
            <w:rPr>
              <w:noProof/>
            </w:rPr>
            <w:instrText xml:space="preserve"> PAGEREF _Toc1132987 \h </w:instrText>
          </w:r>
          <w:r>
            <w:rPr>
              <w:noProof/>
            </w:rPr>
          </w:r>
          <w:r>
            <w:rPr>
              <w:noProof/>
            </w:rPr>
            <w:fldChar w:fldCharType="separate"/>
          </w:r>
          <w:r>
            <w:rPr>
              <w:noProof/>
            </w:rPr>
            <w:t>34</w:t>
          </w:r>
          <w:r>
            <w:rPr>
              <w:noProof/>
            </w:rPr>
            <w:fldChar w:fldCharType="end"/>
          </w:r>
        </w:p>
        <w:p w14:paraId="4A1A5F95" w14:textId="5132E98F" w:rsidR="00FD477F" w:rsidRPr="000D630E" w:rsidRDefault="009B7393" w:rsidP="00F51996">
          <w:pPr>
            <w:rPr>
              <w:lang w:val="en-AU"/>
            </w:rPr>
            <w:sectPr w:rsidR="00FD477F" w:rsidRPr="000D630E" w:rsidSect="00762BD5">
              <w:headerReference w:type="even" r:id="rId14"/>
              <w:headerReference w:type="default" r:id="rId15"/>
              <w:footerReference w:type="even" r:id="rId16"/>
              <w:footerReference w:type="default" r:id="rId17"/>
              <w:headerReference w:type="first" r:id="rId18"/>
              <w:footerReference w:type="first" r:id="rId19"/>
              <w:pgSz w:w="11900" w:h="16840"/>
              <w:pgMar w:top="851" w:right="851" w:bottom="992" w:left="851" w:header="709" w:footer="645" w:gutter="0"/>
              <w:cols w:space="708"/>
            </w:sectPr>
          </w:pPr>
          <w:r w:rsidRPr="000D630E">
            <w:rPr>
              <w:rFonts w:asciiTheme="majorHAnsi" w:hAnsiTheme="majorHAnsi"/>
              <w:sz w:val="40"/>
              <w:szCs w:val="20"/>
              <w:lang w:val="en-AU"/>
            </w:rPr>
            <w:fldChar w:fldCharType="end"/>
          </w:r>
        </w:p>
      </w:sdtContent>
    </w:sdt>
    <w:p w14:paraId="70D1AC78" w14:textId="73642DD9" w:rsidR="00322F44" w:rsidRPr="000D630E" w:rsidRDefault="002257B0" w:rsidP="007225CB">
      <w:pPr>
        <w:pStyle w:val="Heading1"/>
      </w:pPr>
      <w:bookmarkStart w:id="0" w:name="_Toc1132957"/>
      <w:r w:rsidRPr="000D630E">
        <w:lastRenderedPageBreak/>
        <w:t>Introduction</w:t>
      </w:r>
      <w:bookmarkEnd w:id="0"/>
    </w:p>
    <w:p w14:paraId="36D27387" w14:textId="5C02B403" w:rsidR="002257B0" w:rsidRPr="000D630E" w:rsidRDefault="002257B0" w:rsidP="002257B0">
      <w:pPr>
        <w:rPr>
          <w:lang w:val="en-AU"/>
        </w:rPr>
      </w:pPr>
      <w:r w:rsidRPr="000D630E">
        <w:rPr>
          <w:lang w:val="en-AU"/>
        </w:rPr>
        <w:t xml:space="preserve">The </w:t>
      </w:r>
      <w:r w:rsidRPr="000D630E">
        <w:rPr>
          <w:i/>
          <w:lang w:val="en-AU"/>
        </w:rPr>
        <w:t>Disposal of Uncollected Goods Act 1968</w:t>
      </w:r>
      <w:r w:rsidRPr="000D630E">
        <w:rPr>
          <w:lang w:val="en-AU"/>
        </w:rPr>
        <w:t xml:space="preserve"> </w:t>
      </w:r>
      <w:r w:rsidR="00DF5911" w:rsidRPr="000D630E">
        <w:rPr>
          <w:lang w:val="en-AU"/>
        </w:rPr>
        <w:t xml:space="preserve">(“the Act”) </w:t>
      </w:r>
      <w:r w:rsidRPr="000D630E">
        <w:rPr>
          <w:lang w:val="en-AU"/>
        </w:rPr>
        <w:t>provides for a process for the disposal of goods that are not collected</w:t>
      </w:r>
      <w:r w:rsidR="00B3710C">
        <w:rPr>
          <w:lang w:val="en-AU"/>
        </w:rPr>
        <w:t xml:space="preserve"> by consumers in Tasmania</w:t>
      </w:r>
      <w:r w:rsidRPr="000D630E">
        <w:rPr>
          <w:lang w:val="en-AU"/>
        </w:rPr>
        <w:t>.</w:t>
      </w:r>
    </w:p>
    <w:p w14:paraId="42A6C64E" w14:textId="46DF5FC8" w:rsidR="002257B0" w:rsidRPr="000D630E" w:rsidRDefault="00C341C2" w:rsidP="002257B0">
      <w:pPr>
        <w:rPr>
          <w:lang w:val="en-AU"/>
        </w:rPr>
      </w:pPr>
      <w:r>
        <w:rPr>
          <w:lang w:val="en-AU"/>
        </w:rPr>
        <w:t>There is currently an issue where s</w:t>
      </w:r>
      <w:r w:rsidR="002257B0" w:rsidRPr="000D630E">
        <w:rPr>
          <w:lang w:val="en-AU"/>
        </w:rPr>
        <w:t xml:space="preserve">mall businesses such as motor mechanics, </w:t>
      </w:r>
      <w:r w:rsidR="00BC7A43" w:rsidRPr="000D630E">
        <w:rPr>
          <w:lang w:val="en-AU"/>
        </w:rPr>
        <w:t>jewel</w:t>
      </w:r>
      <w:r w:rsidR="00DF5911" w:rsidRPr="000D630E">
        <w:rPr>
          <w:lang w:val="en-AU"/>
        </w:rPr>
        <w:t>l</w:t>
      </w:r>
      <w:r w:rsidR="00BC7A43" w:rsidRPr="000D630E">
        <w:rPr>
          <w:lang w:val="en-AU"/>
        </w:rPr>
        <w:t>ers</w:t>
      </w:r>
      <w:r w:rsidR="002257B0" w:rsidRPr="000D630E">
        <w:rPr>
          <w:lang w:val="en-AU"/>
        </w:rPr>
        <w:t>, and repairer</w:t>
      </w:r>
      <w:r w:rsidR="00FC4CF8">
        <w:rPr>
          <w:lang w:val="en-AU"/>
        </w:rPr>
        <w:t>s of all descriptions</w:t>
      </w:r>
      <w:r w:rsidR="0098109E">
        <w:rPr>
          <w:lang w:val="en-AU"/>
        </w:rPr>
        <w:t>,</w:t>
      </w:r>
      <w:r w:rsidR="00FC4CF8">
        <w:rPr>
          <w:lang w:val="en-AU"/>
        </w:rPr>
        <w:t xml:space="preserve"> are burdened </w:t>
      </w:r>
      <w:r w:rsidR="002257B0" w:rsidRPr="000D630E">
        <w:rPr>
          <w:lang w:val="en-AU"/>
        </w:rPr>
        <w:t>with the goods when client</w:t>
      </w:r>
      <w:r w:rsidR="00A37ADB">
        <w:rPr>
          <w:lang w:val="en-AU"/>
        </w:rPr>
        <w:t>s</w:t>
      </w:r>
      <w:r w:rsidR="002257B0" w:rsidRPr="000D630E">
        <w:rPr>
          <w:lang w:val="en-AU"/>
        </w:rPr>
        <w:t xml:space="preserve"> refuse to pay for the services rendered</w:t>
      </w:r>
      <w:r>
        <w:rPr>
          <w:lang w:val="en-AU"/>
        </w:rPr>
        <w:t>,</w:t>
      </w:r>
      <w:r w:rsidR="002257B0" w:rsidRPr="000D630E">
        <w:rPr>
          <w:lang w:val="en-AU"/>
        </w:rPr>
        <w:t xml:space="preserve"> or fail to collect goods</w:t>
      </w:r>
      <w:r>
        <w:rPr>
          <w:lang w:val="en-AU"/>
        </w:rPr>
        <w:t xml:space="preserve"> after service or repairs have been carried out</w:t>
      </w:r>
      <w:r w:rsidR="002257B0" w:rsidRPr="000D630E">
        <w:rPr>
          <w:lang w:val="en-AU"/>
        </w:rPr>
        <w:t>. The cost of the original repair or service, storage and insurance are</w:t>
      </w:r>
      <w:r w:rsidR="00FC4CF8">
        <w:rPr>
          <w:lang w:val="en-AU"/>
        </w:rPr>
        <w:t xml:space="preserve"> then</w:t>
      </w:r>
      <w:r w:rsidR="002257B0" w:rsidRPr="000D630E">
        <w:rPr>
          <w:lang w:val="en-AU"/>
        </w:rPr>
        <w:t xml:space="preserve"> incurred by the business. </w:t>
      </w:r>
    </w:p>
    <w:p w14:paraId="13126406" w14:textId="5CABA588" w:rsidR="002257B0" w:rsidRDefault="003E0DB3" w:rsidP="002257B0">
      <w:pPr>
        <w:rPr>
          <w:lang w:val="en-AU"/>
        </w:rPr>
      </w:pPr>
      <w:r>
        <w:rPr>
          <w:lang w:val="en-AU"/>
        </w:rPr>
        <w:t>K</w:t>
      </w:r>
      <w:r w:rsidR="002257B0" w:rsidRPr="000D630E">
        <w:rPr>
          <w:lang w:val="en-AU"/>
        </w:rPr>
        <w:t>ey stakeholders</w:t>
      </w:r>
      <w:r w:rsidR="00C341C2">
        <w:rPr>
          <w:lang w:val="en-AU"/>
        </w:rPr>
        <w:t>, including</w:t>
      </w:r>
      <w:r w:rsidR="002257B0" w:rsidRPr="000D630E">
        <w:rPr>
          <w:lang w:val="en-AU"/>
        </w:rPr>
        <w:t xml:space="preserve"> the Tasmanian Automobile Chamber of Commerce (TACC), Tasmanian Chamber of Commerce and Industry (TCCI) and the Small Business Council</w:t>
      </w:r>
      <w:r w:rsidR="00C341C2">
        <w:rPr>
          <w:lang w:val="en-AU"/>
        </w:rPr>
        <w:t>,</w:t>
      </w:r>
      <w:r w:rsidR="002257B0" w:rsidRPr="000D630E">
        <w:rPr>
          <w:lang w:val="en-AU"/>
        </w:rPr>
        <w:t xml:space="preserve"> contend the process prescribed by </w:t>
      </w:r>
      <w:r w:rsidR="00DF5911" w:rsidRPr="000D630E">
        <w:rPr>
          <w:lang w:val="en-AU"/>
        </w:rPr>
        <w:t xml:space="preserve">the </w:t>
      </w:r>
      <w:r w:rsidR="002257B0" w:rsidRPr="000D630E">
        <w:rPr>
          <w:lang w:val="en-AU"/>
        </w:rPr>
        <w:t xml:space="preserve">Act is overly cumbersome and has not kept pace </w:t>
      </w:r>
      <w:r w:rsidR="00DF2CB4" w:rsidRPr="00DF2CB4">
        <w:rPr>
          <w:lang w:val="en-AU"/>
        </w:rPr>
        <w:t>with current social and consumer purchasing trends</w:t>
      </w:r>
      <w:r w:rsidR="002257B0" w:rsidRPr="000D630E">
        <w:rPr>
          <w:lang w:val="en-AU"/>
        </w:rPr>
        <w:t>.</w:t>
      </w:r>
    </w:p>
    <w:p w14:paraId="5E4E4BD2" w14:textId="07795759" w:rsidR="003E0A0D" w:rsidRPr="000D630E" w:rsidRDefault="003E0A0D" w:rsidP="002257B0">
      <w:pPr>
        <w:rPr>
          <w:lang w:val="en-AU"/>
        </w:rPr>
      </w:pPr>
      <w:r>
        <w:rPr>
          <w:lang w:val="en-AU"/>
        </w:rPr>
        <w:t>This analysis was endorsed by the Red Tape Reduction Coordinator</w:t>
      </w:r>
      <w:r w:rsidR="00807973">
        <w:rPr>
          <w:lang w:val="en-AU"/>
        </w:rPr>
        <w:t xml:space="preserve"> in the </w:t>
      </w:r>
      <w:r w:rsidRPr="003E0A0D">
        <w:rPr>
          <w:lang w:val="en-AU"/>
        </w:rPr>
        <w:t>Tasmanian Red Tape Audit Report 2017-18</w:t>
      </w:r>
      <w:r>
        <w:rPr>
          <w:lang w:val="en-AU"/>
        </w:rPr>
        <w:t xml:space="preserve">, which identified the processes in the </w:t>
      </w:r>
      <w:r w:rsidRPr="00807973">
        <w:rPr>
          <w:i/>
          <w:lang w:val="en-AU"/>
        </w:rPr>
        <w:t>Disposal of Uncollected Good Act 1968</w:t>
      </w:r>
      <w:r>
        <w:rPr>
          <w:lang w:val="en-AU"/>
        </w:rPr>
        <w:t xml:space="preserve"> as being costly and cumbersome. </w:t>
      </w:r>
      <w:r w:rsidR="00D93CBD">
        <w:rPr>
          <w:lang w:val="en-AU"/>
        </w:rPr>
        <w:t xml:space="preserve"> </w:t>
      </w:r>
      <w:r>
        <w:rPr>
          <w:lang w:val="en-AU"/>
        </w:rPr>
        <w:t>The report recommended that the Victorian Model be adopted</w:t>
      </w:r>
      <w:r w:rsidR="0098109E">
        <w:rPr>
          <w:lang w:val="en-AU"/>
        </w:rPr>
        <w:t>,</w:t>
      </w:r>
      <w:r>
        <w:rPr>
          <w:lang w:val="en-AU"/>
        </w:rPr>
        <w:t xml:space="preserve"> which </w:t>
      </w:r>
      <w:r w:rsidR="00807973">
        <w:rPr>
          <w:lang w:val="en-AU"/>
        </w:rPr>
        <w:t>h</w:t>
      </w:r>
      <w:r>
        <w:rPr>
          <w:lang w:val="en-AU"/>
        </w:rPr>
        <w:t xml:space="preserve">as different disposal </w:t>
      </w:r>
      <w:r w:rsidR="00807973">
        <w:rPr>
          <w:lang w:val="en-AU"/>
        </w:rPr>
        <w:t>methods relative to the value of the goods.</w:t>
      </w:r>
    </w:p>
    <w:p w14:paraId="38788CFC" w14:textId="504B610C" w:rsidR="003E0A0D" w:rsidRDefault="003E0A0D" w:rsidP="00735CF0">
      <w:r>
        <w:t xml:space="preserve">This discussion paper sets out options for reforming the </w:t>
      </w:r>
      <w:r w:rsidRPr="003E0A0D">
        <w:rPr>
          <w:i/>
        </w:rPr>
        <w:t>Disposal of Uncollected Goods Act 1968</w:t>
      </w:r>
      <w:r>
        <w:t>.</w:t>
      </w:r>
    </w:p>
    <w:p w14:paraId="540A992F" w14:textId="5112B5E3" w:rsidR="00A74007" w:rsidRDefault="00CC10F3" w:rsidP="00735CF0">
      <w:r>
        <w:t>The Department of Justice is seeking feedback on the proposed options and invites stakeholders</w:t>
      </w:r>
      <w:r w:rsidR="00ED3D1A">
        <w:t xml:space="preserve"> to add any other relevant information</w:t>
      </w:r>
      <w:r w:rsidR="00A46F3E">
        <w:t xml:space="preserve">. </w:t>
      </w:r>
    </w:p>
    <w:p w14:paraId="27059FCC" w14:textId="528F1485" w:rsidR="00D93CBD" w:rsidRDefault="00D93CBD" w:rsidP="00D93CBD">
      <w:pPr>
        <w:pStyle w:val="Heading2"/>
      </w:pPr>
      <w:bookmarkStart w:id="1" w:name="_Toc534290305"/>
      <w:bookmarkStart w:id="2" w:name="_Toc1132958"/>
      <w:r>
        <w:t>Submissions</w:t>
      </w:r>
      <w:bookmarkEnd w:id="1"/>
      <w:bookmarkEnd w:id="2"/>
    </w:p>
    <w:p w14:paraId="1CC08175" w14:textId="4BBD4B31" w:rsidR="00A74007" w:rsidRDefault="00A74007" w:rsidP="00A74007">
      <w:r>
        <w:t xml:space="preserve">There is a series of questions at the end of this paper aimed at facilitating discussion about improvements or changes to the model.  Submissions may address some or all of these questions, any may address any other issues relevant to the review of the </w:t>
      </w:r>
      <w:r w:rsidR="00721613">
        <w:t>Act</w:t>
      </w:r>
      <w:r>
        <w:t xml:space="preserve">. </w:t>
      </w:r>
    </w:p>
    <w:p w14:paraId="686CE10E" w14:textId="6162A643" w:rsidR="00CC10F3" w:rsidRDefault="00A74007" w:rsidP="00735CF0">
      <w:r>
        <w:t xml:space="preserve">All written submissions must be received by close of business </w:t>
      </w:r>
      <w:r w:rsidR="004549E2">
        <w:t>Friday 15</w:t>
      </w:r>
      <w:r w:rsidR="009C7A3D" w:rsidRPr="009C7A3D">
        <w:t xml:space="preserve"> March</w:t>
      </w:r>
      <w:r w:rsidR="00CC10F3" w:rsidRPr="009C7A3D">
        <w:t xml:space="preserve"> 2019</w:t>
      </w:r>
      <w:r w:rsidR="00C17F16" w:rsidRPr="009C7A3D">
        <w:t>.</w:t>
      </w:r>
    </w:p>
    <w:p w14:paraId="5AEAE7B6" w14:textId="4EF97267" w:rsidR="00C17F16" w:rsidRDefault="00C17F16" w:rsidP="00735CF0">
      <w:r>
        <w:t>Responses should be made in writing and submitted by one of the following methods:</w:t>
      </w:r>
    </w:p>
    <w:p w14:paraId="15E4020C" w14:textId="5DCE6297" w:rsidR="00C17F16" w:rsidRDefault="00C17F16" w:rsidP="00735CF0">
      <w:r>
        <w:t>By email:</w:t>
      </w:r>
    </w:p>
    <w:p w14:paraId="2D4E4419" w14:textId="67F4742D" w:rsidR="00C17F16" w:rsidRDefault="00681600" w:rsidP="00C17F16">
      <w:pPr>
        <w:ind w:left="720"/>
      </w:pPr>
      <w:hyperlink r:id="rId20" w:history="1">
        <w:r>
          <w:rPr>
            <w:rStyle w:val="Hyperlink"/>
          </w:rPr>
          <w:t>haveyoursay</w:t>
        </w:r>
        <w:r w:rsidRPr="00AF4351">
          <w:rPr>
            <w:rStyle w:val="Hyperlink"/>
          </w:rPr>
          <w:t>@justice.tas.gov.au</w:t>
        </w:r>
      </w:hyperlink>
      <w:r w:rsidR="00500FA9">
        <w:br/>
      </w:r>
      <w:r w:rsidR="00C17F16">
        <w:t>Marked “Disposal of Uncollected Goods Act Review”</w:t>
      </w:r>
    </w:p>
    <w:p w14:paraId="64DAC7F6" w14:textId="2149AC2C" w:rsidR="00C17F16" w:rsidRDefault="00C17F16" w:rsidP="00C17F16">
      <w:r>
        <w:t>By post:</w:t>
      </w:r>
    </w:p>
    <w:p w14:paraId="7DB95015" w14:textId="1308AB6C" w:rsidR="00C17F16" w:rsidRDefault="00C17F16" w:rsidP="00C17F16">
      <w:pPr>
        <w:ind w:left="720"/>
      </w:pPr>
      <w:r>
        <w:t>ATTN: Assistant Director Policy and Projects</w:t>
      </w:r>
      <w:r w:rsidR="00500FA9">
        <w:br/>
      </w:r>
      <w:r>
        <w:t>PO Box 56</w:t>
      </w:r>
      <w:r w:rsidR="00500FA9">
        <w:br/>
      </w:r>
      <w:proofErr w:type="spellStart"/>
      <w:proofErr w:type="gramStart"/>
      <w:r>
        <w:t>Rosny</w:t>
      </w:r>
      <w:proofErr w:type="spellEnd"/>
      <w:r>
        <w:t xml:space="preserve">  TAS</w:t>
      </w:r>
      <w:proofErr w:type="gramEnd"/>
      <w:r>
        <w:t xml:space="preserve">  7018</w:t>
      </w:r>
    </w:p>
    <w:p w14:paraId="6452C620" w14:textId="13B6BBB1" w:rsidR="00C17F16" w:rsidRPr="00735CF0" w:rsidRDefault="00C17F16" w:rsidP="00C17F16">
      <w:r>
        <w:t xml:space="preserve">Further information is available by contact Consumer, Building and Occupational Services (CBOS) on 1300 65 44 99 or </w:t>
      </w:r>
      <w:r w:rsidR="0098109E">
        <w:t xml:space="preserve">by email </w:t>
      </w:r>
      <w:r w:rsidR="00AF1A9E">
        <w:t xml:space="preserve">at </w:t>
      </w:r>
      <w:r>
        <w:t>cbos.info@justice.tas.gov.au.</w:t>
      </w:r>
    </w:p>
    <w:p w14:paraId="099417A8" w14:textId="7064680A" w:rsidR="00BC7A43" w:rsidRPr="000D630E" w:rsidRDefault="00BC7A43" w:rsidP="007225CB">
      <w:pPr>
        <w:pStyle w:val="Heading1"/>
      </w:pPr>
      <w:bookmarkStart w:id="3" w:name="_Toc1132959"/>
      <w:r w:rsidRPr="000D630E">
        <w:lastRenderedPageBreak/>
        <w:t>Purpose</w:t>
      </w:r>
      <w:bookmarkEnd w:id="3"/>
    </w:p>
    <w:p w14:paraId="115C4301" w14:textId="3B840440" w:rsidR="00BC7A43" w:rsidRDefault="00FC4CF8" w:rsidP="00BC7A43">
      <w:pPr>
        <w:rPr>
          <w:lang w:val="en-AU"/>
        </w:rPr>
      </w:pPr>
      <w:r w:rsidRPr="00FC4CF8">
        <w:rPr>
          <w:lang w:val="en-AU"/>
        </w:rPr>
        <w:t>A</w:t>
      </w:r>
      <w:r w:rsidR="00BC7A43" w:rsidRPr="00FC4CF8">
        <w:rPr>
          <w:lang w:val="en-AU"/>
        </w:rPr>
        <w:t xml:space="preserve"> </w:t>
      </w:r>
      <w:r w:rsidR="00FA27D4" w:rsidRPr="00FA27D4">
        <w:rPr>
          <w:i/>
          <w:lang w:val="en-AU"/>
        </w:rPr>
        <w:t xml:space="preserve">Disposal </w:t>
      </w:r>
      <w:r w:rsidRPr="00FA27D4">
        <w:rPr>
          <w:i/>
          <w:lang w:val="en-AU"/>
        </w:rPr>
        <w:t xml:space="preserve">of </w:t>
      </w:r>
      <w:r w:rsidR="00FA27D4" w:rsidRPr="00FA27D4">
        <w:rPr>
          <w:i/>
          <w:lang w:val="en-AU"/>
        </w:rPr>
        <w:t>Uncollected Goods Act</w:t>
      </w:r>
      <w:r w:rsidR="00FA27D4">
        <w:rPr>
          <w:i/>
          <w:lang w:val="en-AU"/>
        </w:rPr>
        <w:t xml:space="preserve"> 1968</w:t>
      </w:r>
      <w:r w:rsidR="00FA27D4" w:rsidRPr="00FC4CF8">
        <w:rPr>
          <w:lang w:val="en-AU"/>
        </w:rPr>
        <w:t xml:space="preserve"> </w:t>
      </w:r>
      <w:r w:rsidR="00BC7A43" w:rsidRPr="00FC4CF8">
        <w:rPr>
          <w:lang w:val="en-AU"/>
        </w:rPr>
        <w:t>is</w:t>
      </w:r>
      <w:r w:rsidR="00BC7A43" w:rsidRPr="006167D4">
        <w:rPr>
          <w:lang w:val="en-AU"/>
        </w:rPr>
        <w:t xml:space="preserve"> </w:t>
      </w:r>
      <w:r w:rsidR="00FA27D4">
        <w:rPr>
          <w:lang w:val="en-AU"/>
        </w:rPr>
        <w:t>important</w:t>
      </w:r>
      <w:r w:rsidR="00FA27D4" w:rsidRPr="006167D4">
        <w:rPr>
          <w:lang w:val="en-AU"/>
        </w:rPr>
        <w:t xml:space="preserve"> </w:t>
      </w:r>
      <w:r w:rsidR="00BC7A43" w:rsidRPr="006167D4">
        <w:rPr>
          <w:lang w:val="en-AU"/>
        </w:rPr>
        <w:t xml:space="preserve">to maintaining the function of business and ensuring the rights of the consumer are upheld. </w:t>
      </w:r>
    </w:p>
    <w:p w14:paraId="68FF713E" w14:textId="08CC4606" w:rsidR="00A37ADB" w:rsidRPr="006167D4" w:rsidRDefault="00A37ADB" w:rsidP="00BC7A43">
      <w:pPr>
        <w:rPr>
          <w:lang w:val="en-AU"/>
        </w:rPr>
      </w:pPr>
      <w:r>
        <w:rPr>
          <w:lang w:val="en-AU"/>
        </w:rPr>
        <w:t>It sets out a legislative framework for the disposal of goods that have not been collected by the owner within a given timeframe, that are then taken to have been abandoned.</w:t>
      </w:r>
    </w:p>
    <w:p w14:paraId="1B833A78" w14:textId="77777777" w:rsidR="00BC7A43" w:rsidRPr="006167D4" w:rsidRDefault="00BC7A43" w:rsidP="00BC7A43">
      <w:pPr>
        <w:pStyle w:val="Heading2"/>
        <w:rPr>
          <w:lang w:val="en-AU"/>
        </w:rPr>
      </w:pPr>
      <w:bookmarkStart w:id="4" w:name="_Toc1132960"/>
      <w:r w:rsidRPr="006167D4">
        <w:rPr>
          <w:lang w:val="en-AU"/>
        </w:rPr>
        <w:t>Functions of the legislation</w:t>
      </w:r>
      <w:bookmarkEnd w:id="4"/>
    </w:p>
    <w:p w14:paraId="1466D929" w14:textId="115778A5" w:rsidR="00BC7A43" w:rsidRPr="006167D4" w:rsidRDefault="00BC7A43" w:rsidP="00BC7A43">
      <w:pPr>
        <w:rPr>
          <w:lang w:val="en-AU"/>
        </w:rPr>
      </w:pPr>
      <w:r w:rsidRPr="006167D4">
        <w:rPr>
          <w:lang w:val="en-AU"/>
        </w:rPr>
        <w:t>Each state and territ</w:t>
      </w:r>
      <w:r w:rsidR="00736AA6">
        <w:rPr>
          <w:lang w:val="en-AU"/>
        </w:rPr>
        <w:t xml:space="preserve">ory has legislation in place </w:t>
      </w:r>
      <w:r w:rsidR="00A37ADB">
        <w:rPr>
          <w:lang w:val="en-AU"/>
        </w:rPr>
        <w:t xml:space="preserve">to provide a legal process for businesses to deal with </w:t>
      </w:r>
      <w:r w:rsidRPr="006167D4">
        <w:rPr>
          <w:lang w:val="en-AU"/>
        </w:rPr>
        <w:t>uncollected goods.</w:t>
      </w:r>
      <w:r w:rsidR="00736AA6">
        <w:rPr>
          <w:lang w:val="en-AU"/>
        </w:rPr>
        <w:t xml:space="preserve"> Whilst variations occur in the legislation, </w:t>
      </w:r>
      <w:r w:rsidR="00A37ADB">
        <w:rPr>
          <w:lang w:val="en-AU"/>
        </w:rPr>
        <w:t xml:space="preserve">the various Acts </w:t>
      </w:r>
      <w:r w:rsidR="00736AA6">
        <w:rPr>
          <w:lang w:val="en-AU"/>
        </w:rPr>
        <w:t xml:space="preserve">perform </w:t>
      </w:r>
      <w:r w:rsidR="00A37ADB">
        <w:rPr>
          <w:lang w:val="en-AU"/>
        </w:rPr>
        <w:t>similar</w:t>
      </w:r>
      <w:r w:rsidR="00736AA6">
        <w:rPr>
          <w:lang w:val="en-AU"/>
        </w:rPr>
        <w:t xml:space="preserve"> functions</w:t>
      </w:r>
      <w:r w:rsidR="00A37ADB">
        <w:rPr>
          <w:lang w:val="en-AU"/>
        </w:rPr>
        <w:t xml:space="preserve"> across all jurisdictions.</w:t>
      </w:r>
    </w:p>
    <w:p w14:paraId="48A5C7A2" w14:textId="155D8E9B" w:rsidR="00BC7A43" w:rsidRPr="006167D4" w:rsidRDefault="00736AA6" w:rsidP="00BC7A43">
      <w:pPr>
        <w:rPr>
          <w:lang w:val="en-AU"/>
        </w:rPr>
      </w:pPr>
      <w:r>
        <w:rPr>
          <w:lang w:val="en-AU"/>
        </w:rPr>
        <w:t>The</w:t>
      </w:r>
      <w:r w:rsidR="00A37ADB">
        <w:rPr>
          <w:lang w:val="en-AU"/>
        </w:rPr>
        <w:t xml:space="preserve"> purpose of the legislation is to</w:t>
      </w:r>
    </w:p>
    <w:p w14:paraId="1AE869DC" w14:textId="15C4B00A" w:rsidR="00BC7A43" w:rsidRPr="006167D4" w:rsidRDefault="00A37ADB" w:rsidP="006167D4">
      <w:pPr>
        <w:pStyle w:val="ListParagraph"/>
      </w:pPr>
      <w:r w:rsidRPr="006167D4">
        <w:t>ensur</w:t>
      </w:r>
      <w:r>
        <w:t>e</w:t>
      </w:r>
      <w:r w:rsidRPr="006167D4">
        <w:t xml:space="preserve"> </w:t>
      </w:r>
      <w:r w:rsidR="00BC7A43" w:rsidRPr="006167D4">
        <w:t>that businesses act in a lawful and proper manner when disposing of uncollected goods</w:t>
      </w:r>
      <w:r>
        <w:t>; and</w:t>
      </w:r>
    </w:p>
    <w:p w14:paraId="4E261576" w14:textId="1522A130" w:rsidR="00BC7A43" w:rsidRPr="006167D4" w:rsidRDefault="00A37ADB" w:rsidP="006167D4">
      <w:pPr>
        <w:pStyle w:val="ListParagraph"/>
      </w:pPr>
      <w:proofErr w:type="gramStart"/>
      <w:r w:rsidRPr="006167D4">
        <w:t>provid</w:t>
      </w:r>
      <w:r>
        <w:t>e</w:t>
      </w:r>
      <w:proofErr w:type="gramEnd"/>
      <w:r w:rsidRPr="006167D4">
        <w:t xml:space="preserve"> </w:t>
      </w:r>
      <w:r w:rsidR="00BC7A43" w:rsidRPr="006167D4">
        <w:t>a legislative framework in which consumers and businesses are protected</w:t>
      </w:r>
      <w:r w:rsidR="00AF1A9E">
        <w:t>.</w:t>
      </w:r>
    </w:p>
    <w:p w14:paraId="26122609" w14:textId="77777777" w:rsidR="00BC7A43" w:rsidRPr="000D630E" w:rsidRDefault="00047434" w:rsidP="006876EE">
      <w:pPr>
        <w:pStyle w:val="Heading2"/>
        <w:rPr>
          <w:lang w:val="en-AU"/>
        </w:rPr>
      </w:pPr>
      <w:bookmarkStart w:id="5" w:name="_Toc1132961"/>
      <w:r w:rsidRPr="000D630E">
        <w:rPr>
          <w:lang w:val="en-AU"/>
        </w:rPr>
        <w:t>Stakeholders</w:t>
      </w:r>
      <w:bookmarkEnd w:id="5"/>
    </w:p>
    <w:p w14:paraId="2149FCC4" w14:textId="7AC58213" w:rsidR="00047434" w:rsidRPr="000D630E" w:rsidRDefault="00047434" w:rsidP="00047434">
      <w:pPr>
        <w:rPr>
          <w:lang w:val="en-AU"/>
        </w:rPr>
      </w:pPr>
      <w:r w:rsidRPr="000D630E">
        <w:rPr>
          <w:lang w:val="en-AU"/>
        </w:rPr>
        <w:t xml:space="preserve">The </w:t>
      </w:r>
      <w:r w:rsidR="00A37ADB">
        <w:rPr>
          <w:lang w:val="en-AU"/>
        </w:rPr>
        <w:t xml:space="preserve">Tasmanian Disposal of Uncollected Goods </w:t>
      </w:r>
      <w:r w:rsidRPr="000D630E">
        <w:rPr>
          <w:lang w:val="en-AU"/>
        </w:rPr>
        <w:t xml:space="preserve">Act </w:t>
      </w:r>
      <w:r w:rsidR="00DF5911" w:rsidRPr="000D630E">
        <w:rPr>
          <w:lang w:val="en-AU"/>
        </w:rPr>
        <w:t xml:space="preserve">affects </w:t>
      </w:r>
      <w:r w:rsidRPr="000D630E">
        <w:rPr>
          <w:lang w:val="en-AU"/>
        </w:rPr>
        <w:t>multiple consumer and business groups</w:t>
      </w:r>
      <w:r w:rsidR="00A37ADB">
        <w:rPr>
          <w:lang w:val="en-AU"/>
        </w:rPr>
        <w:t>,</w:t>
      </w:r>
      <w:r w:rsidRPr="000D630E">
        <w:rPr>
          <w:lang w:val="en-AU"/>
        </w:rPr>
        <w:t xml:space="preserve"> including:</w:t>
      </w:r>
    </w:p>
    <w:p w14:paraId="2E72A859" w14:textId="034E3E51" w:rsidR="00047434" w:rsidRPr="006167D4" w:rsidRDefault="00047434" w:rsidP="006167D4">
      <w:pPr>
        <w:pStyle w:val="ListParagraph"/>
      </w:pPr>
      <w:r w:rsidRPr="006167D4">
        <w:t xml:space="preserve">Customers – referred to as </w:t>
      </w:r>
      <w:r w:rsidR="00681600">
        <w:t>‘</w:t>
      </w:r>
      <w:r w:rsidRPr="006167D4">
        <w:t>the bailor</w:t>
      </w:r>
      <w:r w:rsidR="00681600">
        <w:t>’</w:t>
      </w:r>
      <w:r w:rsidR="00A46F3E">
        <w:t xml:space="preserve"> in the Act</w:t>
      </w:r>
    </w:p>
    <w:p w14:paraId="7FB11A32" w14:textId="456D6D50" w:rsidR="00047434" w:rsidRPr="006167D4" w:rsidRDefault="00047434" w:rsidP="006167D4">
      <w:pPr>
        <w:pStyle w:val="ListParagraph"/>
      </w:pPr>
      <w:r w:rsidRPr="006167D4">
        <w:t xml:space="preserve">Businesses and service providers – referred to as </w:t>
      </w:r>
      <w:r w:rsidR="00681600">
        <w:t>‘</w:t>
      </w:r>
      <w:r w:rsidRPr="006167D4">
        <w:t xml:space="preserve">the </w:t>
      </w:r>
      <w:proofErr w:type="spellStart"/>
      <w:r w:rsidRPr="006167D4">
        <w:t>bailee</w:t>
      </w:r>
      <w:proofErr w:type="spellEnd"/>
      <w:r w:rsidR="00681600">
        <w:t>’</w:t>
      </w:r>
      <w:r w:rsidR="00A46F3E">
        <w:t xml:space="preserve"> in the Act</w:t>
      </w:r>
    </w:p>
    <w:p w14:paraId="7D922317" w14:textId="6259B5EF" w:rsidR="00047434" w:rsidRPr="00DF5911" w:rsidRDefault="00A37ADB" w:rsidP="006167D4">
      <w:pPr>
        <w:pStyle w:val="ListParagraph"/>
      </w:pPr>
      <w:r>
        <w:t xml:space="preserve">The </w:t>
      </w:r>
      <w:r w:rsidR="00047434" w:rsidRPr="00AE2D36">
        <w:t>Tasmanian Automobile Chamber of Commerce (TACC)</w:t>
      </w:r>
    </w:p>
    <w:p w14:paraId="6A592ECD" w14:textId="1D074A39" w:rsidR="00047434" w:rsidRPr="00DF5911" w:rsidRDefault="00A37ADB" w:rsidP="006167D4">
      <w:pPr>
        <w:pStyle w:val="ListParagraph"/>
      </w:pPr>
      <w:r>
        <w:t xml:space="preserve">The </w:t>
      </w:r>
      <w:r w:rsidR="00047434" w:rsidRPr="00DF5911">
        <w:t>Royal Automobile Club of Tasmania (RACT)</w:t>
      </w:r>
    </w:p>
    <w:p w14:paraId="7A655BA4" w14:textId="0AAD3329" w:rsidR="00047434" w:rsidRPr="00DF5911" w:rsidRDefault="00A37ADB" w:rsidP="00E473D5">
      <w:pPr>
        <w:pStyle w:val="ListParagraph"/>
      </w:pPr>
      <w:r>
        <w:t xml:space="preserve">The </w:t>
      </w:r>
      <w:r w:rsidR="00047434" w:rsidRPr="00DF5911">
        <w:t>Re</w:t>
      </w:r>
      <w:r w:rsidR="009C531C">
        <w:t>d Tape</w:t>
      </w:r>
      <w:r w:rsidR="00047434" w:rsidRPr="00DF5911">
        <w:t xml:space="preserve"> Reduction Coordinator</w:t>
      </w:r>
    </w:p>
    <w:p w14:paraId="1D79955F" w14:textId="50266E9A" w:rsidR="00047434" w:rsidRPr="00DF5911" w:rsidRDefault="00A37ADB" w:rsidP="00130CE3">
      <w:pPr>
        <w:pStyle w:val="ListParagraph"/>
      </w:pPr>
      <w:r>
        <w:t xml:space="preserve">The </w:t>
      </w:r>
      <w:r w:rsidR="00047434" w:rsidRPr="00DF5911">
        <w:t>Tasmanian Chamber of Commerce and Industry (TCCI)</w:t>
      </w:r>
    </w:p>
    <w:p w14:paraId="5C641B7A" w14:textId="0D5F9D94" w:rsidR="00047434" w:rsidRPr="00DF5911" w:rsidRDefault="00A37ADB" w:rsidP="00AE2D36">
      <w:pPr>
        <w:pStyle w:val="ListParagraph"/>
      </w:pPr>
      <w:r>
        <w:t xml:space="preserve">The </w:t>
      </w:r>
      <w:r w:rsidR="00047434" w:rsidRPr="00DF5911">
        <w:t xml:space="preserve">Small Business Council </w:t>
      </w:r>
    </w:p>
    <w:p w14:paraId="07D8C36A" w14:textId="7E22BC0E" w:rsidR="00AA652E" w:rsidRDefault="00A37ADB" w:rsidP="00AA652E">
      <w:pPr>
        <w:pStyle w:val="ListParagraph"/>
      </w:pPr>
      <w:r>
        <w:t xml:space="preserve">The </w:t>
      </w:r>
      <w:r w:rsidR="00047434" w:rsidRPr="00DF5911">
        <w:t>Commissioner of Police</w:t>
      </w:r>
      <w:r>
        <w:t>, and</w:t>
      </w:r>
      <w:r w:rsidR="00047434" w:rsidRPr="00DF5911">
        <w:t xml:space="preserve"> </w:t>
      </w:r>
    </w:p>
    <w:p w14:paraId="077EF97B" w14:textId="65AC8BB8" w:rsidR="00047434" w:rsidRPr="00DF5911" w:rsidRDefault="00AA652E" w:rsidP="00AA652E">
      <w:pPr>
        <w:pStyle w:val="ListParagraph"/>
      </w:pPr>
      <w:r w:rsidRPr="006167D4">
        <w:t>Public Auction Houses –</w:t>
      </w:r>
      <w:r w:rsidR="00AF1A9E">
        <w:t xml:space="preserve"> </w:t>
      </w:r>
      <w:r w:rsidRPr="00AF1A9E">
        <w:rPr>
          <w:i/>
        </w:rPr>
        <w:t xml:space="preserve">the </w:t>
      </w:r>
      <w:r w:rsidR="00AF1A9E">
        <w:rPr>
          <w:i/>
        </w:rPr>
        <w:t>current</w:t>
      </w:r>
      <w:r w:rsidR="00AF1A9E" w:rsidRPr="00AF1A9E">
        <w:rPr>
          <w:i/>
        </w:rPr>
        <w:t xml:space="preserve"> </w:t>
      </w:r>
      <w:r w:rsidRPr="00AF1A9E">
        <w:rPr>
          <w:i/>
        </w:rPr>
        <w:t>marketplace for the sale of uncollected goods</w:t>
      </w:r>
      <w:r w:rsidR="00A37ADB" w:rsidRPr="00AF1A9E">
        <w:rPr>
          <w:i/>
        </w:rPr>
        <w:t xml:space="preserve"> in Tasmania.</w:t>
      </w:r>
    </w:p>
    <w:p w14:paraId="7BAA14ED" w14:textId="5AA558CB" w:rsidR="00047434" w:rsidRPr="000D630E" w:rsidRDefault="00047434" w:rsidP="00047434">
      <w:pPr>
        <w:rPr>
          <w:lang w:val="en-AU"/>
        </w:rPr>
      </w:pPr>
      <w:r w:rsidRPr="000D630E">
        <w:rPr>
          <w:lang w:val="en-AU"/>
        </w:rPr>
        <w:t xml:space="preserve">Any business that </w:t>
      </w:r>
      <w:r w:rsidR="00A37ADB">
        <w:rPr>
          <w:lang w:val="en-AU"/>
        </w:rPr>
        <w:t xml:space="preserve">provides </w:t>
      </w:r>
      <w:r w:rsidR="00A37ADB" w:rsidRPr="000D630E">
        <w:rPr>
          <w:lang w:val="en-AU"/>
        </w:rPr>
        <w:t>repair</w:t>
      </w:r>
      <w:r w:rsidR="00A37ADB">
        <w:rPr>
          <w:lang w:val="en-AU"/>
        </w:rPr>
        <w:t xml:space="preserve"> services</w:t>
      </w:r>
      <w:r w:rsidR="00A37ADB" w:rsidRPr="000D630E">
        <w:rPr>
          <w:lang w:val="en-AU"/>
        </w:rPr>
        <w:t xml:space="preserve"> </w:t>
      </w:r>
      <w:r w:rsidRPr="000D630E">
        <w:rPr>
          <w:lang w:val="en-AU"/>
        </w:rPr>
        <w:t xml:space="preserve">or </w:t>
      </w:r>
      <w:r w:rsidR="00A402A1">
        <w:rPr>
          <w:lang w:val="en-AU"/>
        </w:rPr>
        <w:t>is required to hold a customer’s property</w:t>
      </w:r>
      <w:r w:rsidR="00A402A1" w:rsidRPr="000D630E">
        <w:rPr>
          <w:lang w:val="en-AU"/>
        </w:rPr>
        <w:t xml:space="preserve"> after or before payment</w:t>
      </w:r>
      <w:r w:rsidR="00A37ADB">
        <w:rPr>
          <w:lang w:val="en-AU"/>
        </w:rPr>
        <w:t>,</w:t>
      </w:r>
      <w:r w:rsidRPr="000D630E">
        <w:rPr>
          <w:lang w:val="en-AU"/>
        </w:rPr>
        <w:t xml:space="preserve"> is covered by </w:t>
      </w:r>
      <w:r w:rsidR="00A37ADB">
        <w:rPr>
          <w:lang w:val="en-AU"/>
        </w:rPr>
        <w:t xml:space="preserve">the </w:t>
      </w:r>
      <w:r w:rsidR="00DF5911" w:rsidRPr="000D630E">
        <w:rPr>
          <w:lang w:val="en-AU"/>
        </w:rPr>
        <w:t xml:space="preserve">Uncollected Goods </w:t>
      </w:r>
      <w:r w:rsidRPr="000D630E">
        <w:rPr>
          <w:lang w:val="en-AU"/>
        </w:rPr>
        <w:t>legislation. This ca</w:t>
      </w:r>
      <w:r w:rsidR="00CA25A9">
        <w:rPr>
          <w:lang w:val="en-AU"/>
        </w:rPr>
        <w:t xml:space="preserve">n include businesses that offer repairs of vehicles, electronics, </w:t>
      </w:r>
      <w:r w:rsidR="00CA25A9" w:rsidRPr="000D630E">
        <w:rPr>
          <w:lang w:val="en-AU"/>
        </w:rPr>
        <w:t>watch</w:t>
      </w:r>
      <w:r w:rsidR="00CA25A9">
        <w:rPr>
          <w:lang w:val="en-AU"/>
        </w:rPr>
        <w:t>es</w:t>
      </w:r>
      <w:r w:rsidRPr="000D630E">
        <w:rPr>
          <w:lang w:val="en-AU"/>
        </w:rPr>
        <w:t>,</w:t>
      </w:r>
      <w:r w:rsidR="00CA25A9">
        <w:rPr>
          <w:lang w:val="en-AU"/>
        </w:rPr>
        <w:t xml:space="preserve"> </w:t>
      </w:r>
      <w:r w:rsidR="00A37ADB">
        <w:rPr>
          <w:lang w:val="en-AU"/>
        </w:rPr>
        <w:t xml:space="preserve">or </w:t>
      </w:r>
      <w:r w:rsidR="00CA25A9">
        <w:rPr>
          <w:lang w:val="en-AU"/>
        </w:rPr>
        <w:t xml:space="preserve">clothes, </w:t>
      </w:r>
      <w:r w:rsidRPr="000D630E">
        <w:rPr>
          <w:lang w:val="en-AU"/>
        </w:rPr>
        <w:t>dry cleaners</w:t>
      </w:r>
      <w:r w:rsidR="00A402A1">
        <w:rPr>
          <w:lang w:val="en-AU"/>
        </w:rPr>
        <w:t xml:space="preserve"> and other businesses that hold goods for </w:t>
      </w:r>
      <w:r w:rsidR="0031406A">
        <w:rPr>
          <w:lang w:val="en-AU"/>
        </w:rPr>
        <w:t xml:space="preserve">collection following a </w:t>
      </w:r>
      <w:r w:rsidR="00A402A1">
        <w:rPr>
          <w:lang w:val="en-AU"/>
        </w:rPr>
        <w:t>service</w:t>
      </w:r>
      <w:r w:rsidRPr="000D630E">
        <w:rPr>
          <w:lang w:val="en-AU"/>
        </w:rPr>
        <w:t xml:space="preserve">. </w:t>
      </w:r>
    </w:p>
    <w:p w14:paraId="46F1BFE8" w14:textId="59954FA9" w:rsidR="00BC7A43" w:rsidRDefault="00047434" w:rsidP="00047434">
      <w:pPr>
        <w:rPr>
          <w:lang w:val="en-AU"/>
        </w:rPr>
      </w:pPr>
      <w:r w:rsidRPr="000D630E">
        <w:rPr>
          <w:lang w:val="en-AU"/>
        </w:rPr>
        <w:t>Perishable goods</w:t>
      </w:r>
      <w:r w:rsidR="00AF1A9E">
        <w:rPr>
          <w:lang w:val="en-AU"/>
        </w:rPr>
        <w:t>,</w:t>
      </w:r>
      <w:r w:rsidRPr="000D630E">
        <w:rPr>
          <w:lang w:val="en-AU"/>
        </w:rPr>
        <w:t xml:space="preserve"> such as cakes</w:t>
      </w:r>
      <w:r w:rsidR="00AF1A9E">
        <w:rPr>
          <w:lang w:val="en-AU"/>
        </w:rPr>
        <w:t xml:space="preserve"> and other food items,</w:t>
      </w:r>
      <w:r w:rsidRPr="000D630E">
        <w:rPr>
          <w:lang w:val="en-AU"/>
        </w:rPr>
        <w:t xml:space="preserve"> are only covered in some jurisdictions. </w:t>
      </w:r>
      <w:r w:rsidR="00AF1A9E">
        <w:rPr>
          <w:lang w:val="en-AU"/>
        </w:rPr>
        <w:t xml:space="preserve"> </w:t>
      </w:r>
      <w:r w:rsidRPr="000D630E">
        <w:rPr>
          <w:lang w:val="en-AU"/>
        </w:rPr>
        <w:t xml:space="preserve">Perishable goods differ </w:t>
      </w:r>
      <w:r w:rsidR="00A402A1">
        <w:rPr>
          <w:lang w:val="en-AU"/>
        </w:rPr>
        <w:t xml:space="preserve">to standard uncollected goods </w:t>
      </w:r>
      <w:r w:rsidRPr="000D630E">
        <w:rPr>
          <w:lang w:val="en-AU"/>
        </w:rPr>
        <w:t>because they have a time sensitive expiry and need to be collected, sold</w:t>
      </w:r>
      <w:r w:rsidR="00AF1A9E">
        <w:rPr>
          <w:lang w:val="en-AU"/>
        </w:rPr>
        <w:t xml:space="preserve"> or disposed of in a short time</w:t>
      </w:r>
      <w:r w:rsidRPr="000D630E">
        <w:rPr>
          <w:lang w:val="en-AU"/>
        </w:rPr>
        <w:t>frame.</w:t>
      </w:r>
    </w:p>
    <w:p w14:paraId="402EC0E0" w14:textId="496BFEC0" w:rsidR="0031406A" w:rsidRPr="000D630E" w:rsidRDefault="0031406A" w:rsidP="00047434">
      <w:pPr>
        <w:rPr>
          <w:lang w:val="en-AU"/>
        </w:rPr>
      </w:pPr>
      <w:r>
        <w:rPr>
          <w:lang w:val="en-AU"/>
        </w:rPr>
        <w:t xml:space="preserve">Perishable goods are not currently covered </w:t>
      </w:r>
      <w:r w:rsidR="00AF1A9E">
        <w:rPr>
          <w:lang w:val="en-AU"/>
        </w:rPr>
        <w:t>under the</w:t>
      </w:r>
      <w:r>
        <w:rPr>
          <w:lang w:val="en-AU"/>
        </w:rPr>
        <w:t xml:space="preserve"> Tasmanian legislation.</w:t>
      </w:r>
    </w:p>
    <w:p w14:paraId="435C1234" w14:textId="41BFA608" w:rsidR="00047434" w:rsidRPr="000D630E" w:rsidRDefault="00AF1A9E" w:rsidP="00047434">
      <w:pPr>
        <w:pStyle w:val="Heading2"/>
        <w:rPr>
          <w:lang w:val="en-AU"/>
        </w:rPr>
      </w:pPr>
      <w:r>
        <w:rPr>
          <w:lang w:val="en-AU"/>
        </w:rPr>
        <w:br w:type="page"/>
      </w:r>
      <w:bookmarkStart w:id="6" w:name="_Toc1132962"/>
      <w:r w:rsidR="00047434" w:rsidRPr="000D630E">
        <w:rPr>
          <w:lang w:val="en-AU"/>
        </w:rPr>
        <w:lastRenderedPageBreak/>
        <w:t>Importance of the legislation</w:t>
      </w:r>
      <w:bookmarkEnd w:id="6"/>
    </w:p>
    <w:p w14:paraId="66BC9F13" w14:textId="347BCABD" w:rsidR="001525F3" w:rsidRDefault="00047434" w:rsidP="00047434">
      <w:pPr>
        <w:rPr>
          <w:lang w:val="en-AU"/>
        </w:rPr>
      </w:pPr>
      <w:r w:rsidRPr="000D630E">
        <w:rPr>
          <w:lang w:val="en-AU"/>
        </w:rPr>
        <w:t xml:space="preserve">Several key industry stakeholders met with the Department of Justice in 2016 to discuss the </w:t>
      </w:r>
      <w:r w:rsidR="00AF1A9E">
        <w:rPr>
          <w:lang w:val="en-AU"/>
        </w:rPr>
        <w:t xml:space="preserve">operation of the </w:t>
      </w:r>
      <w:r w:rsidRPr="000D630E">
        <w:rPr>
          <w:lang w:val="en-AU"/>
        </w:rPr>
        <w:t xml:space="preserve">Act. </w:t>
      </w:r>
    </w:p>
    <w:p w14:paraId="3E333673" w14:textId="2E5D8824" w:rsidR="00047434" w:rsidRDefault="00047434" w:rsidP="00047434">
      <w:pPr>
        <w:rPr>
          <w:lang w:val="en-AU"/>
        </w:rPr>
      </w:pPr>
      <w:r w:rsidRPr="000D630E">
        <w:rPr>
          <w:lang w:val="en-AU"/>
        </w:rPr>
        <w:t>It was agreed that the Act is vital to providing a process to dispose of uncollected goods, and without it, businesses would have no way of disposing of goods legally.</w:t>
      </w:r>
    </w:p>
    <w:p w14:paraId="08A9AD1F" w14:textId="3C06AD16" w:rsidR="005332F7" w:rsidRDefault="005332F7" w:rsidP="00047434">
      <w:pPr>
        <w:rPr>
          <w:lang w:val="en-AU"/>
        </w:rPr>
      </w:pPr>
      <w:r>
        <w:rPr>
          <w:lang w:val="en-AU"/>
        </w:rPr>
        <w:t>However</w:t>
      </w:r>
      <w:r w:rsidR="00AF1A9E">
        <w:rPr>
          <w:lang w:val="en-AU"/>
        </w:rPr>
        <w:t>, a number of</w:t>
      </w:r>
      <w:r>
        <w:rPr>
          <w:lang w:val="en-AU"/>
        </w:rPr>
        <w:t xml:space="preserve"> issues were identified with the current Act</w:t>
      </w:r>
      <w:r w:rsidR="00AF1A9E">
        <w:rPr>
          <w:lang w:val="en-AU"/>
        </w:rPr>
        <w:t>, including</w:t>
      </w:r>
      <w:r>
        <w:rPr>
          <w:lang w:val="en-AU"/>
        </w:rPr>
        <w:t>:</w:t>
      </w:r>
    </w:p>
    <w:p w14:paraId="737113E4" w14:textId="29406B0E" w:rsidR="005332F7" w:rsidRDefault="00AF1A9E" w:rsidP="005332F7">
      <w:pPr>
        <w:pStyle w:val="ListParagraph"/>
        <w:numPr>
          <w:ilvl w:val="0"/>
          <w:numId w:val="40"/>
        </w:numPr>
      </w:pPr>
      <w:r>
        <w:t xml:space="preserve">It </w:t>
      </w:r>
      <w:r w:rsidR="005332F7">
        <w:t>does</w:t>
      </w:r>
      <w:r w:rsidR="005332F7" w:rsidRPr="005332F7">
        <w:t xml:space="preserve"> not take into account the value of the goods to be disposed of </w:t>
      </w:r>
    </w:p>
    <w:p w14:paraId="4EB3A019" w14:textId="4C75F700" w:rsidR="005332F7" w:rsidRPr="00C96584" w:rsidRDefault="003C7E0B" w:rsidP="005332F7">
      <w:pPr>
        <w:pStyle w:val="ListParagraph"/>
        <w:numPr>
          <w:ilvl w:val="0"/>
          <w:numId w:val="40"/>
        </w:numPr>
      </w:pPr>
      <w:r w:rsidRPr="003C7E0B">
        <w:t xml:space="preserve"> </w:t>
      </w:r>
      <w:proofErr w:type="spellStart"/>
      <w:r w:rsidRPr="003C7E0B">
        <w:t>Bailees</w:t>
      </w:r>
      <w:proofErr w:type="spellEnd"/>
      <w:r w:rsidR="00AF1A9E" w:rsidRPr="00C96584">
        <w:t xml:space="preserve"> </w:t>
      </w:r>
      <w:r w:rsidR="005332F7" w:rsidRPr="00C96584">
        <w:t>must obtain permission from the Commissioner of Police</w:t>
      </w:r>
      <w:r w:rsidRPr="00C96584">
        <w:t xml:space="preserve"> to sell uncollected goods</w:t>
      </w:r>
      <w:r w:rsidR="00AF1A9E" w:rsidRPr="00C96584">
        <w:t>, and</w:t>
      </w:r>
      <w:r w:rsidR="005332F7" w:rsidRPr="00C96584">
        <w:t xml:space="preserve"> </w:t>
      </w:r>
    </w:p>
    <w:p w14:paraId="553C8B0B" w14:textId="540EE9AD" w:rsidR="005332F7" w:rsidRPr="00C96584" w:rsidRDefault="00C96584" w:rsidP="005332F7">
      <w:pPr>
        <w:pStyle w:val="ListParagraph"/>
        <w:numPr>
          <w:ilvl w:val="0"/>
          <w:numId w:val="40"/>
        </w:numPr>
      </w:pPr>
      <w:proofErr w:type="spellStart"/>
      <w:r>
        <w:t>Bailees</w:t>
      </w:r>
      <w:proofErr w:type="spellEnd"/>
      <w:r w:rsidR="003C7E0B" w:rsidRPr="00C96584">
        <w:t xml:space="preserve"> </w:t>
      </w:r>
      <w:r w:rsidR="005332F7" w:rsidRPr="00C96584">
        <w:t xml:space="preserve">may only sell </w:t>
      </w:r>
      <w:r w:rsidR="003C7E0B" w:rsidRPr="00C96584">
        <w:t xml:space="preserve">uncollected goods </w:t>
      </w:r>
      <w:r w:rsidR="005332F7" w:rsidRPr="00C96584">
        <w:t>through a public auction house</w:t>
      </w:r>
      <w:r w:rsidR="00AF1A9E" w:rsidRPr="00C96584">
        <w:t>.</w:t>
      </w:r>
    </w:p>
    <w:p w14:paraId="4DBCA049" w14:textId="71AFD67F" w:rsidR="00047434" w:rsidRPr="000D630E" w:rsidRDefault="00047434" w:rsidP="00047434">
      <w:pPr>
        <w:rPr>
          <w:lang w:val="en-AU"/>
        </w:rPr>
      </w:pPr>
      <w:r w:rsidRPr="000D630E">
        <w:rPr>
          <w:lang w:val="en-AU"/>
        </w:rPr>
        <w:t xml:space="preserve">The stakeholders present at the meeting included The Regulation Reduction Coordinator, </w:t>
      </w:r>
      <w:r w:rsidR="00AF1A9E">
        <w:rPr>
          <w:lang w:val="en-AU"/>
        </w:rPr>
        <w:t xml:space="preserve">the </w:t>
      </w:r>
      <w:r w:rsidRPr="000D630E">
        <w:rPr>
          <w:lang w:val="en-AU"/>
        </w:rPr>
        <w:t xml:space="preserve">Tasmanian Automobile Chamber of Commerce (TACC), </w:t>
      </w:r>
      <w:r w:rsidR="00AF1A9E">
        <w:rPr>
          <w:lang w:val="en-AU"/>
        </w:rPr>
        <w:t xml:space="preserve">the </w:t>
      </w:r>
      <w:r w:rsidRPr="000D630E">
        <w:rPr>
          <w:lang w:val="en-AU"/>
        </w:rPr>
        <w:t>Tasmanian Chamber of Commerce and Industry (TCCI) and the Small Business Council.</w:t>
      </w:r>
    </w:p>
    <w:p w14:paraId="585DE76F" w14:textId="1D3C0CC2" w:rsidR="00047434" w:rsidRPr="000D630E" w:rsidRDefault="0002529E" w:rsidP="007225CB">
      <w:pPr>
        <w:pStyle w:val="Heading1"/>
      </w:pPr>
      <w:bookmarkStart w:id="7" w:name="_Toc1132963"/>
      <w:r>
        <w:lastRenderedPageBreak/>
        <w:t>Legislation</w:t>
      </w:r>
      <w:bookmarkEnd w:id="7"/>
    </w:p>
    <w:p w14:paraId="6781595F" w14:textId="35A037DB" w:rsidR="00047434" w:rsidRPr="000D630E" w:rsidRDefault="00047434" w:rsidP="00047434">
      <w:pPr>
        <w:rPr>
          <w:lang w:val="en-AU"/>
        </w:rPr>
      </w:pPr>
      <w:r w:rsidRPr="000D630E">
        <w:rPr>
          <w:lang w:val="en-AU"/>
        </w:rPr>
        <w:t xml:space="preserve">Each State and Territory currently has legislation </w:t>
      </w:r>
      <w:r w:rsidR="006B0BFD">
        <w:rPr>
          <w:lang w:val="en-AU"/>
        </w:rPr>
        <w:t>relating to the disposal of</w:t>
      </w:r>
      <w:r w:rsidR="006B0BFD" w:rsidRPr="000D630E">
        <w:rPr>
          <w:lang w:val="en-AU"/>
        </w:rPr>
        <w:t xml:space="preserve"> </w:t>
      </w:r>
      <w:r w:rsidRPr="000D630E">
        <w:rPr>
          <w:lang w:val="en-AU"/>
        </w:rPr>
        <w:t xml:space="preserve">uncollected goods. </w:t>
      </w:r>
      <w:r w:rsidR="009F3D70" w:rsidRPr="000D630E">
        <w:rPr>
          <w:lang w:val="en-AU"/>
        </w:rPr>
        <w:t>A comparative</w:t>
      </w:r>
      <w:r w:rsidRPr="000D630E">
        <w:rPr>
          <w:lang w:val="en-AU"/>
        </w:rPr>
        <w:t xml:space="preserve"> overview of </w:t>
      </w:r>
      <w:r w:rsidR="006B0BFD">
        <w:rPr>
          <w:lang w:val="en-AU"/>
        </w:rPr>
        <w:t>each jurisdiction’s legislation</w:t>
      </w:r>
      <w:r w:rsidR="006B0BFD" w:rsidRPr="000D630E">
        <w:rPr>
          <w:lang w:val="en-AU"/>
        </w:rPr>
        <w:t xml:space="preserve"> </w:t>
      </w:r>
      <w:r w:rsidRPr="000D630E">
        <w:rPr>
          <w:lang w:val="en-AU"/>
        </w:rPr>
        <w:t xml:space="preserve">is included in </w:t>
      </w:r>
      <w:r w:rsidR="009B06EC" w:rsidRPr="000D630E">
        <w:rPr>
          <w:lang w:val="en-AU"/>
        </w:rPr>
        <w:t>Appendix</w:t>
      </w:r>
      <w:r w:rsidR="009B06EC">
        <w:rPr>
          <w:lang w:val="en-AU"/>
        </w:rPr>
        <w:t> </w:t>
      </w:r>
      <w:r w:rsidRPr="000D630E">
        <w:rPr>
          <w:lang w:val="en-AU"/>
        </w:rPr>
        <w:t xml:space="preserve">1. </w:t>
      </w:r>
    </w:p>
    <w:p w14:paraId="684E777D" w14:textId="50DD516C" w:rsidR="00047434" w:rsidRPr="000D630E" w:rsidRDefault="00FA27D4" w:rsidP="00047434">
      <w:pPr>
        <w:rPr>
          <w:lang w:val="en-AU"/>
        </w:rPr>
      </w:pPr>
      <w:r>
        <w:rPr>
          <w:lang w:val="en-AU"/>
        </w:rPr>
        <w:t>Legislation</w:t>
      </w:r>
      <w:r w:rsidR="00047434" w:rsidRPr="000D630E">
        <w:rPr>
          <w:lang w:val="en-AU"/>
        </w:rPr>
        <w:t xml:space="preserve"> </w:t>
      </w:r>
      <w:r w:rsidR="00AF1A9E">
        <w:rPr>
          <w:lang w:val="en-AU"/>
        </w:rPr>
        <w:t xml:space="preserve">across the jurisdictions </w:t>
      </w:r>
      <w:r w:rsidR="00047434" w:rsidRPr="000D630E">
        <w:rPr>
          <w:lang w:val="en-AU"/>
        </w:rPr>
        <w:t>varies in its:</w:t>
      </w:r>
    </w:p>
    <w:p w14:paraId="254AD86B" w14:textId="77777777" w:rsidR="00047434" w:rsidRPr="006167D4" w:rsidRDefault="00047434" w:rsidP="006167D4">
      <w:pPr>
        <w:pStyle w:val="ListParagraph"/>
      </w:pPr>
      <w:r w:rsidRPr="006167D4">
        <w:t>classification of value (of goods)</w:t>
      </w:r>
    </w:p>
    <w:p w14:paraId="435D4AD3" w14:textId="77777777" w:rsidR="00047434" w:rsidRPr="006167D4" w:rsidRDefault="00047434" w:rsidP="006167D4">
      <w:pPr>
        <w:pStyle w:val="ListParagraph"/>
      </w:pPr>
      <w:r w:rsidRPr="006167D4">
        <w:t>process of disposal for each category</w:t>
      </w:r>
    </w:p>
    <w:p w14:paraId="6D0C6534" w14:textId="77777777" w:rsidR="00047434" w:rsidRPr="006167D4" w:rsidRDefault="00047434" w:rsidP="006167D4">
      <w:pPr>
        <w:pStyle w:val="ListParagraph"/>
      </w:pPr>
      <w:r w:rsidRPr="006167D4">
        <w:t xml:space="preserve">notice of intention to dispose </w:t>
      </w:r>
    </w:p>
    <w:p w14:paraId="0F9372F4" w14:textId="77777777" w:rsidR="00047434" w:rsidRPr="006167D4" w:rsidRDefault="00047434" w:rsidP="006167D4">
      <w:pPr>
        <w:pStyle w:val="ListParagraph"/>
      </w:pPr>
      <w:r w:rsidRPr="006167D4">
        <w:t>retention periods</w:t>
      </w:r>
    </w:p>
    <w:p w14:paraId="26ADC63F" w14:textId="02E8555F" w:rsidR="00047434" w:rsidRPr="006167D4" w:rsidRDefault="00047434" w:rsidP="006167D4">
      <w:pPr>
        <w:pStyle w:val="ListParagraph"/>
      </w:pPr>
      <w:proofErr w:type="gramStart"/>
      <w:r w:rsidRPr="006167D4">
        <w:t>the</w:t>
      </w:r>
      <w:proofErr w:type="gramEnd"/>
      <w:r w:rsidRPr="006167D4">
        <w:t xml:space="preserve"> inclusion of perishable goods and motor vehicles</w:t>
      </w:r>
      <w:r w:rsidR="00AF1A9E">
        <w:t>.</w:t>
      </w:r>
    </w:p>
    <w:p w14:paraId="0FA1FCA0" w14:textId="77777777" w:rsidR="009B06EC" w:rsidRDefault="00047434" w:rsidP="00047434">
      <w:pPr>
        <w:rPr>
          <w:lang w:val="en-AU"/>
        </w:rPr>
      </w:pPr>
      <w:r w:rsidRPr="006167D4">
        <w:rPr>
          <w:lang w:val="en-AU"/>
        </w:rPr>
        <w:t xml:space="preserve">As some Acts have become </w:t>
      </w:r>
      <w:r w:rsidR="009F3D70" w:rsidRPr="006167D4">
        <w:rPr>
          <w:lang w:val="en-AU"/>
        </w:rPr>
        <w:t>dated and</w:t>
      </w:r>
      <w:r w:rsidRPr="006167D4">
        <w:rPr>
          <w:lang w:val="en-AU"/>
        </w:rPr>
        <w:t xml:space="preserve"> elements have become redundant, regulations have been added</w:t>
      </w:r>
      <w:r w:rsidR="009B06EC">
        <w:rPr>
          <w:lang w:val="en-AU"/>
        </w:rPr>
        <w:t xml:space="preserve"> to address particular issues in the operation of the schemes</w:t>
      </w:r>
      <w:r w:rsidRPr="006167D4">
        <w:rPr>
          <w:lang w:val="en-AU"/>
        </w:rPr>
        <w:t xml:space="preserve">. </w:t>
      </w:r>
    </w:p>
    <w:p w14:paraId="739B1CED" w14:textId="0BFE0975" w:rsidR="00047434" w:rsidRDefault="009B06EC" w:rsidP="00047434">
      <w:pPr>
        <w:rPr>
          <w:lang w:val="en-AU"/>
        </w:rPr>
      </w:pPr>
      <w:r>
        <w:rPr>
          <w:lang w:val="en-AU"/>
        </w:rPr>
        <w:t>However, t</w:t>
      </w:r>
      <w:r w:rsidR="00047434" w:rsidRPr="006167D4">
        <w:rPr>
          <w:lang w:val="en-AU"/>
        </w:rPr>
        <w:t xml:space="preserve">his is not the case in Tasmania where </w:t>
      </w:r>
      <w:r>
        <w:rPr>
          <w:lang w:val="en-AU"/>
        </w:rPr>
        <w:t xml:space="preserve">there have been </w:t>
      </w:r>
      <w:r w:rsidR="00047434" w:rsidRPr="006167D4">
        <w:rPr>
          <w:lang w:val="en-AU"/>
        </w:rPr>
        <w:t xml:space="preserve">no updates made </w:t>
      </w:r>
      <w:r>
        <w:rPr>
          <w:lang w:val="en-AU"/>
        </w:rPr>
        <w:t xml:space="preserve">to the Act </w:t>
      </w:r>
      <w:r w:rsidR="00047434" w:rsidRPr="006167D4">
        <w:rPr>
          <w:lang w:val="en-AU"/>
        </w:rPr>
        <w:t xml:space="preserve">since its initial implementation in 1968. The TACC and the Red Tape Reduction </w:t>
      </w:r>
      <w:r w:rsidR="00681600">
        <w:rPr>
          <w:lang w:val="en-AU"/>
        </w:rPr>
        <w:t>Coordinator</w:t>
      </w:r>
      <w:r w:rsidR="00681600" w:rsidRPr="006167D4">
        <w:rPr>
          <w:lang w:val="en-AU"/>
        </w:rPr>
        <w:t xml:space="preserve"> </w:t>
      </w:r>
      <w:r w:rsidR="00D5251C">
        <w:rPr>
          <w:lang w:val="en-AU"/>
        </w:rPr>
        <w:t>raised concerns in</w:t>
      </w:r>
      <w:r w:rsidR="00047434" w:rsidRPr="006167D4">
        <w:rPr>
          <w:lang w:val="en-AU"/>
        </w:rPr>
        <w:t xml:space="preserve"> November 2016 that Tasmania’s legislation is out of step and dated.</w:t>
      </w:r>
    </w:p>
    <w:p w14:paraId="47A170BA" w14:textId="1F3352FD" w:rsidR="00D5251C" w:rsidRPr="006167D4" w:rsidRDefault="00D5251C" w:rsidP="00047434">
      <w:pPr>
        <w:rPr>
          <w:lang w:val="en-AU"/>
        </w:rPr>
      </w:pPr>
      <w:r>
        <w:rPr>
          <w:lang w:val="en-AU"/>
        </w:rPr>
        <w:t xml:space="preserve">This resulted in a commitment to review the Act to assess whether changes were needed. </w:t>
      </w:r>
    </w:p>
    <w:p w14:paraId="20B19939" w14:textId="5B3341DB" w:rsidR="00047434" w:rsidRPr="006167D4" w:rsidRDefault="00D5251C" w:rsidP="00047434">
      <w:pPr>
        <w:pStyle w:val="Heading2"/>
        <w:rPr>
          <w:lang w:val="en-AU"/>
        </w:rPr>
      </w:pPr>
      <w:bookmarkStart w:id="8" w:name="_Toc1132964"/>
      <w:r>
        <w:rPr>
          <w:lang w:val="en-AU"/>
        </w:rPr>
        <w:t>Recent amendments to legislation in other States and Territories</w:t>
      </w:r>
      <w:bookmarkEnd w:id="8"/>
    </w:p>
    <w:p w14:paraId="584FF38D" w14:textId="77777777" w:rsidR="00047434" w:rsidRPr="006167D4" w:rsidRDefault="00047434" w:rsidP="00047434">
      <w:pPr>
        <w:pStyle w:val="Heading3"/>
        <w:rPr>
          <w:lang w:val="en-AU"/>
        </w:rPr>
      </w:pPr>
      <w:bookmarkStart w:id="9" w:name="_Toc1132965"/>
      <w:r w:rsidRPr="006167D4">
        <w:rPr>
          <w:lang w:val="en-AU"/>
        </w:rPr>
        <w:t>New South Wales – Uncollected Goods Regulation 2017</w:t>
      </w:r>
      <w:bookmarkEnd w:id="9"/>
    </w:p>
    <w:p w14:paraId="0E3F4BE1" w14:textId="31E10146" w:rsidR="00047434" w:rsidRPr="006167D4" w:rsidRDefault="00047434" w:rsidP="006167D4">
      <w:pPr>
        <w:pStyle w:val="ListParagraph"/>
      </w:pPr>
      <w:r w:rsidRPr="006167D4">
        <w:t>Outlines goods not covered by their Act (because a different legislative scheme applies to those goods)</w:t>
      </w:r>
      <w:r w:rsidR="00AF1A9E">
        <w:t>.</w:t>
      </w:r>
    </w:p>
    <w:p w14:paraId="2D4EC08B" w14:textId="1E8E2980" w:rsidR="00047434" w:rsidRPr="006167D4" w:rsidRDefault="00047434" w:rsidP="006167D4">
      <w:pPr>
        <w:pStyle w:val="ListParagraph"/>
      </w:pPr>
      <w:r w:rsidRPr="006167D4">
        <w:t>Minor change to the making of an application to the Local Court for an order for the disposal of uncollected goods</w:t>
      </w:r>
      <w:r w:rsidR="00AF1A9E">
        <w:t>.</w:t>
      </w:r>
    </w:p>
    <w:p w14:paraId="413D6B1D" w14:textId="33CF66AC" w:rsidR="00047434" w:rsidRPr="00DA5FFF" w:rsidRDefault="00047434" w:rsidP="00DA5FFF">
      <w:pPr>
        <w:pStyle w:val="Heading3"/>
        <w:rPr>
          <w:lang w:val="en-AU"/>
        </w:rPr>
      </w:pPr>
      <w:bookmarkStart w:id="10" w:name="_Toc1132966"/>
      <w:r w:rsidRPr="006167D4">
        <w:rPr>
          <w:lang w:val="en-AU"/>
        </w:rPr>
        <w:t>Victoria</w:t>
      </w:r>
      <w:r w:rsidR="00DA5FFF">
        <w:rPr>
          <w:lang w:val="en-AU"/>
        </w:rPr>
        <w:t xml:space="preserve"> – repealed </w:t>
      </w:r>
      <w:r w:rsidR="00DA5FFF" w:rsidRPr="00DA5FFF">
        <w:t>Disposal of Uncollected Goods Act 1961</w:t>
      </w:r>
      <w:bookmarkEnd w:id="10"/>
    </w:p>
    <w:p w14:paraId="6C431079" w14:textId="4E4F0029" w:rsidR="00047434" w:rsidRPr="006167D4" w:rsidRDefault="00047434" w:rsidP="006167D4">
      <w:pPr>
        <w:pStyle w:val="ListParagraph"/>
      </w:pPr>
      <w:r w:rsidRPr="006167D4">
        <w:t xml:space="preserve">Repealed the </w:t>
      </w:r>
      <w:r w:rsidRPr="000D630E">
        <w:rPr>
          <w:i/>
        </w:rPr>
        <w:t>Disposal of Uncollected Goods Act 1961</w:t>
      </w:r>
      <w:r w:rsidRPr="006167D4">
        <w:t xml:space="preserve"> and created a subsection for uncollected goods in the Australian Consumer Law and Fair Trading Act</w:t>
      </w:r>
      <w:r w:rsidR="00AF1A9E">
        <w:t>.</w:t>
      </w:r>
    </w:p>
    <w:p w14:paraId="63DBE319" w14:textId="77777777" w:rsidR="00047434" w:rsidRPr="006167D4" w:rsidRDefault="00047434" w:rsidP="00047434">
      <w:pPr>
        <w:pStyle w:val="Heading3"/>
        <w:rPr>
          <w:lang w:val="en-AU"/>
        </w:rPr>
      </w:pPr>
      <w:bookmarkStart w:id="11" w:name="_Toc1132967"/>
      <w:r w:rsidRPr="006167D4">
        <w:rPr>
          <w:lang w:val="en-AU"/>
        </w:rPr>
        <w:t>South Australia – Unclaimed Goods Regulations 2013</w:t>
      </w:r>
      <w:bookmarkEnd w:id="11"/>
    </w:p>
    <w:p w14:paraId="05A41AB7" w14:textId="67BB96A4" w:rsidR="00047434" w:rsidRPr="006167D4" w:rsidRDefault="00047434" w:rsidP="006167D4">
      <w:pPr>
        <w:pStyle w:val="ListParagraph"/>
      </w:pPr>
      <w:r w:rsidRPr="006167D4">
        <w:t>Scale 1 and Scale 2 values of $100 increased to $500, Scale 2 and Scale 3 values of $500 increased to $2 000</w:t>
      </w:r>
      <w:r w:rsidR="00AF1A9E">
        <w:t>.</w:t>
      </w:r>
    </w:p>
    <w:p w14:paraId="03A18FCA" w14:textId="7BF7407A" w:rsidR="00047434" w:rsidRPr="006167D4" w:rsidRDefault="00047434" w:rsidP="006167D4">
      <w:pPr>
        <w:pStyle w:val="ListParagraph"/>
      </w:pPr>
      <w:r w:rsidRPr="006167D4">
        <w:t>Set forms provided to give notice under circumstances which require newspaper, Commissioner of Police or bailor notice</w:t>
      </w:r>
      <w:r w:rsidR="00AF1A9E">
        <w:t>.</w:t>
      </w:r>
    </w:p>
    <w:p w14:paraId="6815D96D" w14:textId="77777777" w:rsidR="00047434" w:rsidRPr="006167D4" w:rsidRDefault="00047434" w:rsidP="00047434">
      <w:pPr>
        <w:pStyle w:val="Heading3"/>
        <w:rPr>
          <w:lang w:val="en-AU"/>
        </w:rPr>
      </w:pPr>
      <w:bookmarkStart w:id="12" w:name="_Toc1132968"/>
      <w:r w:rsidRPr="006167D4">
        <w:rPr>
          <w:lang w:val="en-AU"/>
        </w:rPr>
        <w:t>Northern Territory – Uncollected Goods Act 2016</w:t>
      </w:r>
      <w:bookmarkEnd w:id="12"/>
    </w:p>
    <w:p w14:paraId="29430869" w14:textId="553AFEA8" w:rsidR="00047434" w:rsidRPr="006167D4" w:rsidRDefault="00047434" w:rsidP="0068449B">
      <w:pPr>
        <w:pStyle w:val="ListParagraph"/>
      </w:pPr>
      <w:r w:rsidRPr="006167D4">
        <w:t xml:space="preserve">New Act </w:t>
      </w:r>
      <w:r w:rsidR="00D5251C">
        <w:t>was drafted following recommendations</w:t>
      </w:r>
      <w:r w:rsidR="00D5251C" w:rsidRPr="006167D4">
        <w:t xml:space="preserve"> </w:t>
      </w:r>
      <w:r w:rsidRPr="006167D4">
        <w:t>from a report in 2001</w:t>
      </w:r>
      <w:r w:rsidR="0068449B">
        <w:t>. The new Act introduces four value categories for goods l</w:t>
      </w:r>
      <w:r w:rsidR="0068449B" w:rsidRPr="006167D4">
        <w:t>ess than $200</w:t>
      </w:r>
      <w:r w:rsidR="0068449B">
        <w:t>, b</w:t>
      </w:r>
      <w:r w:rsidR="0068449B" w:rsidRPr="006167D4">
        <w:t>etween $200 and $1,000</w:t>
      </w:r>
      <w:r w:rsidR="0068449B">
        <w:t>, b</w:t>
      </w:r>
      <w:r w:rsidR="0068449B" w:rsidRPr="006167D4">
        <w:t>etween $1</w:t>
      </w:r>
      <w:proofErr w:type="gramStart"/>
      <w:r w:rsidR="0068449B" w:rsidRPr="006167D4">
        <w:t>,00</w:t>
      </w:r>
      <w:proofErr w:type="gramEnd"/>
      <w:r w:rsidR="0068449B" w:rsidRPr="006167D4">
        <w:t xml:space="preserve"> and $7,000</w:t>
      </w:r>
      <w:r w:rsidR="0068449B">
        <w:t>, and o</w:t>
      </w:r>
      <w:r w:rsidR="0068449B" w:rsidRPr="006167D4">
        <w:t>ver $7,000</w:t>
      </w:r>
      <w:r w:rsidR="00AF1A9E">
        <w:t>.</w:t>
      </w:r>
    </w:p>
    <w:p w14:paraId="0BA66782" w14:textId="5DCCFB2D" w:rsidR="00047434" w:rsidRPr="006167D4" w:rsidRDefault="00047434" w:rsidP="006167D4">
      <w:pPr>
        <w:pStyle w:val="ListParagraph"/>
      </w:pPr>
      <w:r w:rsidRPr="006167D4">
        <w:t xml:space="preserve">Created a Fact Sheet to aid understanding of </w:t>
      </w:r>
      <w:r w:rsidR="006167D4">
        <w:t>t</w:t>
      </w:r>
      <w:r w:rsidR="006167D4" w:rsidRPr="006167D4">
        <w:t xml:space="preserve">he </w:t>
      </w:r>
      <w:r w:rsidRPr="006167D4">
        <w:t>Act</w:t>
      </w:r>
      <w:r w:rsidR="00AF1A9E">
        <w:t>.</w:t>
      </w:r>
    </w:p>
    <w:p w14:paraId="09DDA505" w14:textId="77777777" w:rsidR="00047434" w:rsidRPr="006167D4" w:rsidRDefault="00047434" w:rsidP="00047434">
      <w:pPr>
        <w:pStyle w:val="Heading3"/>
        <w:rPr>
          <w:lang w:val="en-AU"/>
        </w:rPr>
      </w:pPr>
      <w:bookmarkStart w:id="13" w:name="_Toc1132969"/>
      <w:r w:rsidRPr="006167D4">
        <w:rPr>
          <w:lang w:val="en-AU"/>
        </w:rPr>
        <w:lastRenderedPageBreak/>
        <w:t>Australian Capital Territory – Uncollected Goods Act 1967</w:t>
      </w:r>
      <w:bookmarkEnd w:id="13"/>
    </w:p>
    <w:p w14:paraId="17106C89" w14:textId="2817B312" w:rsidR="00047434" w:rsidRPr="006167D4" w:rsidRDefault="00047434" w:rsidP="006167D4">
      <w:pPr>
        <w:pStyle w:val="ListParagraph"/>
      </w:pPr>
      <w:r w:rsidRPr="006167D4">
        <w:t>Changed wording to be inclusive of goods held rather than only those received</w:t>
      </w:r>
      <w:r w:rsidR="00AF1A9E">
        <w:t>.</w:t>
      </w:r>
    </w:p>
    <w:p w14:paraId="3D18B178" w14:textId="77777777" w:rsidR="00047434" w:rsidRPr="006167D4" w:rsidRDefault="00047434" w:rsidP="00047434">
      <w:pPr>
        <w:pStyle w:val="Heading2"/>
        <w:rPr>
          <w:lang w:val="en-AU"/>
        </w:rPr>
      </w:pPr>
      <w:bookmarkStart w:id="14" w:name="_Toc1132970"/>
      <w:r w:rsidRPr="006167D4">
        <w:rPr>
          <w:lang w:val="en-AU"/>
        </w:rPr>
        <w:t>Available data</w:t>
      </w:r>
      <w:bookmarkEnd w:id="14"/>
    </w:p>
    <w:p w14:paraId="775D2BC2" w14:textId="5857095C" w:rsidR="00047434" w:rsidRPr="006167D4" w:rsidRDefault="00047434" w:rsidP="00047434">
      <w:pPr>
        <w:rPr>
          <w:lang w:val="en-AU"/>
        </w:rPr>
      </w:pPr>
      <w:r w:rsidRPr="006167D4">
        <w:rPr>
          <w:lang w:val="en-AU"/>
        </w:rPr>
        <w:t xml:space="preserve">Currently no research has been conducted on the amount of, or total monetary value of uncollected goods in Tasmania or Australia as a whole. Anecdotal evidence suggests businesses are disposing of goods without </w:t>
      </w:r>
      <w:r w:rsidR="002E2C9C">
        <w:rPr>
          <w:lang w:val="en-AU"/>
        </w:rPr>
        <w:t>complying with</w:t>
      </w:r>
      <w:r w:rsidRPr="006167D4">
        <w:rPr>
          <w:lang w:val="en-AU"/>
        </w:rPr>
        <w:t xml:space="preserve"> the Act. In some cases</w:t>
      </w:r>
      <w:r w:rsidR="00AF1A9E">
        <w:rPr>
          <w:lang w:val="en-AU"/>
        </w:rPr>
        <w:t>,</w:t>
      </w:r>
      <w:r w:rsidRPr="006167D4">
        <w:rPr>
          <w:lang w:val="en-AU"/>
        </w:rPr>
        <w:t xml:space="preserve"> mechanics are crushing vehicles or moving them onto council roads or land where they become a council issue.  </w:t>
      </w:r>
    </w:p>
    <w:p w14:paraId="4C6496EE" w14:textId="4FB2DDD2" w:rsidR="00047434" w:rsidRPr="006167D4" w:rsidRDefault="00047434" w:rsidP="009F3D70">
      <w:pPr>
        <w:rPr>
          <w:lang w:val="en-AU"/>
        </w:rPr>
      </w:pPr>
      <w:r w:rsidRPr="006167D4">
        <w:rPr>
          <w:lang w:val="en-AU"/>
        </w:rPr>
        <w:t xml:space="preserve">The Tasmanian Government Gazette has only published three uncollected goods notices since 2008, </w:t>
      </w:r>
      <w:r w:rsidR="0068449B">
        <w:rPr>
          <w:lang w:val="en-AU"/>
        </w:rPr>
        <w:t>indicating there is a level of non-compliance with the</w:t>
      </w:r>
      <w:r w:rsidRPr="006167D4">
        <w:rPr>
          <w:lang w:val="en-AU"/>
        </w:rPr>
        <w:t xml:space="preserve"> requirement of the current legislation </w:t>
      </w:r>
      <w:r w:rsidR="0068449B">
        <w:rPr>
          <w:lang w:val="en-AU"/>
        </w:rPr>
        <w:t xml:space="preserve">to publish a notice </w:t>
      </w:r>
      <w:r w:rsidRPr="006167D4">
        <w:rPr>
          <w:lang w:val="en-AU"/>
        </w:rPr>
        <w:t xml:space="preserve">before a business may dispose of a </w:t>
      </w:r>
      <w:r w:rsidR="009F3D70" w:rsidRPr="006167D4">
        <w:rPr>
          <w:lang w:val="en-AU"/>
        </w:rPr>
        <w:t>vehicle</w:t>
      </w:r>
      <w:r w:rsidRPr="006167D4">
        <w:rPr>
          <w:lang w:val="en-AU"/>
        </w:rPr>
        <w:t xml:space="preserve">. </w:t>
      </w:r>
    </w:p>
    <w:p w14:paraId="49FF0034" w14:textId="59B41AD0" w:rsidR="00047434" w:rsidRPr="006167D4" w:rsidRDefault="00047434" w:rsidP="007225CB">
      <w:pPr>
        <w:pStyle w:val="Heading1"/>
      </w:pPr>
      <w:bookmarkStart w:id="15" w:name="_Toc1132971"/>
      <w:r w:rsidRPr="006167D4">
        <w:lastRenderedPageBreak/>
        <w:t>Analysis</w:t>
      </w:r>
      <w:bookmarkEnd w:id="15"/>
    </w:p>
    <w:p w14:paraId="56B79944" w14:textId="77777777" w:rsidR="00047434" w:rsidRPr="006167D4" w:rsidRDefault="00047434" w:rsidP="00047434">
      <w:pPr>
        <w:rPr>
          <w:lang w:val="en-AU"/>
        </w:rPr>
      </w:pPr>
      <w:r w:rsidRPr="006167D4">
        <w:rPr>
          <w:lang w:val="en-AU"/>
        </w:rPr>
        <w:t xml:space="preserve">A table comparing the legislation from each jurisdiction is included in Appendix 1. </w:t>
      </w:r>
    </w:p>
    <w:p w14:paraId="5C7F9F64" w14:textId="77777777" w:rsidR="00047434" w:rsidRPr="006167D4" w:rsidRDefault="00047434" w:rsidP="00047434">
      <w:pPr>
        <w:rPr>
          <w:lang w:val="en-AU"/>
        </w:rPr>
      </w:pPr>
      <w:r w:rsidRPr="006167D4">
        <w:rPr>
          <w:lang w:val="en-AU"/>
        </w:rPr>
        <w:t>The main points of difference between jurisdictions include:</w:t>
      </w:r>
    </w:p>
    <w:p w14:paraId="2712A96E" w14:textId="77777777" w:rsidR="00047434" w:rsidRPr="006167D4" w:rsidRDefault="00047434" w:rsidP="006167D4">
      <w:pPr>
        <w:pStyle w:val="ListParagraph"/>
      </w:pPr>
      <w:r w:rsidRPr="006167D4">
        <w:t>classification of value of goods</w:t>
      </w:r>
    </w:p>
    <w:p w14:paraId="11FA9C3B" w14:textId="381AF23F" w:rsidR="00047434" w:rsidRPr="006167D4" w:rsidRDefault="00047434" w:rsidP="006167D4">
      <w:pPr>
        <w:pStyle w:val="ListParagraph"/>
      </w:pPr>
      <w:r w:rsidRPr="006167D4">
        <w:t xml:space="preserve">notice </w:t>
      </w:r>
      <w:r w:rsidR="003C7E0B">
        <w:t>r</w:t>
      </w:r>
      <w:r w:rsidRPr="006167D4">
        <w:t>equirements</w:t>
      </w:r>
    </w:p>
    <w:p w14:paraId="564850E9" w14:textId="77777777" w:rsidR="00047434" w:rsidRPr="006167D4" w:rsidRDefault="00047434" w:rsidP="006167D4">
      <w:pPr>
        <w:pStyle w:val="ListParagraph"/>
      </w:pPr>
      <w:r w:rsidRPr="006167D4">
        <w:t>retention periods</w:t>
      </w:r>
    </w:p>
    <w:p w14:paraId="2F54CD71" w14:textId="03B50B18" w:rsidR="00047434" w:rsidRPr="006167D4" w:rsidRDefault="00047434" w:rsidP="00B031BE">
      <w:pPr>
        <w:pStyle w:val="ListParagraph"/>
      </w:pPr>
      <w:r w:rsidRPr="006167D4">
        <w:t xml:space="preserve">method of </w:t>
      </w:r>
      <w:r w:rsidR="00B031BE">
        <w:t>d</w:t>
      </w:r>
      <w:r w:rsidR="00B031BE" w:rsidRPr="00B031BE">
        <w:t>isposal</w:t>
      </w:r>
      <w:r w:rsidRPr="006167D4">
        <w:t xml:space="preserve"> </w:t>
      </w:r>
    </w:p>
    <w:p w14:paraId="635A36E0" w14:textId="6D5770FB" w:rsidR="00047434" w:rsidRPr="006167D4" w:rsidRDefault="00047434" w:rsidP="006167D4">
      <w:pPr>
        <w:pStyle w:val="ListParagraph"/>
      </w:pPr>
      <w:proofErr w:type="gramStart"/>
      <w:r w:rsidRPr="006167D4">
        <w:t>process</w:t>
      </w:r>
      <w:proofErr w:type="gramEnd"/>
      <w:r w:rsidRPr="006167D4">
        <w:t xml:space="preserve"> for dealing with perishable goods and motor vehicles</w:t>
      </w:r>
      <w:r w:rsidR="00AF1A9E">
        <w:t>.</w:t>
      </w:r>
    </w:p>
    <w:p w14:paraId="16F80C84" w14:textId="77777777" w:rsidR="00047434" w:rsidRPr="006167D4" w:rsidRDefault="00047434" w:rsidP="00047434">
      <w:pPr>
        <w:pStyle w:val="Heading2"/>
        <w:rPr>
          <w:lang w:val="en-AU"/>
        </w:rPr>
      </w:pPr>
      <w:bookmarkStart w:id="16" w:name="_Toc1132972"/>
      <w:r w:rsidRPr="006167D4">
        <w:rPr>
          <w:lang w:val="en-AU"/>
        </w:rPr>
        <w:t>Value Categorisation</w:t>
      </w:r>
      <w:bookmarkEnd w:id="16"/>
    </w:p>
    <w:p w14:paraId="227A20EA" w14:textId="77777777" w:rsidR="0068449B" w:rsidRDefault="00047434" w:rsidP="00047434">
      <w:pPr>
        <w:rPr>
          <w:lang w:val="en-AU"/>
        </w:rPr>
      </w:pPr>
      <w:r w:rsidRPr="00E473D5">
        <w:rPr>
          <w:lang w:val="en-AU"/>
        </w:rPr>
        <w:t xml:space="preserve">Uncollected goods cover a large range of values. The Act is in place to assist businesses dispose of goods ranging from $20 watches uncollected after a battery replacement, to cars valued over $5,000 abandoned because the repairs cost more than the value of the car. </w:t>
      </w:r>
    </w:p>
    <w:p w14:paraId="5CE6555D" w14:textId="23E8510D" w:rsidR="00047434" w:rsidRDefault="00047434" w:rsidP="00047434">
      <w:pPr>
        <w:rPr>
          <w:lang w:val="en-AU"/>
        </w:rPr>
      </w:pPr>
      <w:r w:rsidRPr="00E473D5">
        <w:rPr>
          <w:lang w:val="en-AU"/>
        </w:rPr>
        <w:t>The following is taken from the comparison table (Appendix 1) and shows the value categories used in each jurisdiction:</w:t>
      </w:r>
    </w:p>
    <w:tbl>
      <w:tblPr>
        <w:tblStyle w:val="TableGrid"/>
        <w:tblW w:w="11153" w:type="dxa"/>
        <w:jc w:val="center"/>
        <w:tblLayout w:type="fixed"/>
        <w:tblLook w:val="04A0" w:firstRow="1" w:lastRow="0" w:firstColumn="1" w:lastColumn="0" w:noHBand="0" w:noVBand="1"/>
      </w:tblPr>
      <w:tblGrid>
        <w:gridCol w:w="1809"/>
        <w:gridCol w:w="2336"/>
        <w:gridCol w:w="2336"/>
        <w:gridCol w:w="2336"/>
        <w:gridCol w:w="2336"/>
      </w:tblGrid>
      <w:tr w:rsidR="00E473D5" w:rsidRPr="009560AF" w14:paraId="00CC3705" w14:textId="77777777" w:rsidTr="001F26DC">
        <w:trPr>
          <w:trHeight w:val="314"/>
          <w:tblHeader/>
          <w:jc w:val="center"/>
        </w:trPr>
        <w:tc>
          <w:tcPr>
            <w:tcW w:w="1809" w:type="dxa"/>
          </w:tcPr>
          <w:p w14:paraId="27492604" w14:textId="640E83ED" w:rsidR="00E473D5" w:rsidRPr="006167D4" w:rsidRDefault="00E473D5" w:rsidP="000D630E">
            <w:pPr>
              <w:pStyle w:val="OutlineNumbered1"/>
              <w:numPr>
                <w:ilvl w:val="0"/>
                <w:numId w:val="0"/>
              </w:numPr>
              <w:ind w:left="318" w:hanging="284"/>
              <w:jc w:val="center"/>
              <w:rPr>
                <w:rFonts w:cs="Arial"/>
                <w:b/>
                <w:sz w:val="24"/>
                <w:szCs w:val="24"/>
              </w:rPr>
            </w:pPr>
          </w:p>
        </w:tc>
        <w:tc>
          <w:tcPr>
            <w:tcW w:w="2336" w:type="dxa"/>
            <w:shd w:val="clear" w:color="auto" w:fill="DFEBCE" w:themeFill="accent4" w:themeFillTint="33"/>
          </w:tcPr>
          <w:p w14:paraId="3C443275" w14:textId="77777777" w:rsidR="00E473D5" w:rsidRPr="006167D4" w:rsidRDefault="00E473D5" w:rsidP="000D630E">
            <w:pPr>
              <w:jc w:val="center"/>
              <w:rPr>
                <w:rFonts w:cs="Arial"/>
                <w:b/>
                <w:sz w:val="24"/>
                <w:szCs w:val="24"/>
              </w:rPr>
            </w:pPr>
            <w:r w:rsidRPr="006167D4">
              <w:rPr>
                <w:rFonts w:cs="Arial"/>
                <w:b/>
                <w:sz w:val="24"/>
                <w:szCs w:val="24"/>
              </w:rPr>
              <w:t>NSW</w:t>
            </w:r>
          </w:p>
        </w:tc>
        <w:tc>
          <w:tcPr>
            <w:tcW w:w="2336" w:type="dxa"/>
            <w:shd w:val="clear" w:color="auto" w:fill="F8E2CF" w:themeFill="accent2" w:themeFillTint="33"/>
          </w:tcPr>
          <w:p w14:paraId="1F508587" w14:textId="77777777" w:rsidR="00E473D5" w:rsidRPr="006167D4" w:rsidRDefault="00E473D5" w:rsidP="000D630E">
            <w:pPr>
              <w:jc w:val="center"/>
              <w:rPr>
                <w:rFonts w:cs="Arial"/>
                <w:b/>
                <w:sz w:val="24"/>
                <w:szCs w:val="24"/>
              </w:rPr>
            </w:pPr>
            <w:r w:rsidRPr="006167D4">
              <w:rPr>
                <w:rFonts w:cs="Arial"/>
                <w:b/>
                <w:sz w:val="24"/>
                <w:szCs w:val="24"/>
              </w:rPr>
              <w:t>Vic</w:t>
            </w:r>
          </w:p>
        </w:tc>
        <w:tc>
          <w:tcPr>
            <w:tcW w:w="2336" w:type="dxa"/>
            <w:shd w:val="clear" w:color="auto" w:fill="DCF3FF" w:themeFill="accent6" w:themeFillTint="33"/>
          </w:tcPr>
          <w:p w14:paraId="6F1F4968" w14:textId="77777777" w:rsidR="00E473D5" w:rsidRPr="006167D4" w:rsidRDefault="00E473D5" w:rsidP="000D630E">
            <w:pPr>
              <w:jc w:val="center"/>
              <w:rPr>
                <w:rFonts w:cs="Arial"/>
                <w:b/>
                <w:sz w:val="24"/>
                <w:szCs w:val="24"/>
              </w:rPr>
            </w:pPr>
            <w:r w:rsidRPr="006167D4">
              <w:rPr>
                <w:rFonts w:cs="Arial"/>
                <w:b/>
                <w:sz w:val="24"/>
                <w:szCs w:val="24"/>
              </w:rPr>
              <w:t>SA</w:t>
            </w:r>
          </w:p>
        </w:tc>
        <w:tc>
          <w:tcPr>
            <w:tcW w:w="2336" w:type="dxa"/>
            <w:shd w:val="clear" w:color="auto" w:fill="FFCC99"/>
          </w:tcPr>
          <w:p w14:paraId="1E5011EB" w14:textId="77777777" w:rsidR="00E473D5" w:rsidRPr="006167D4" w:rsidRDefault="00E473D5" w:rsidP="000D630E">
            <w:pPr>
              <w:jc w:val="center"/>
              <w:rPr>
                <w:rFonts w:cs="Arial"/>
                <w:b/>
                <w:sz w:val="24"/>
                <w:szCs w:val="24"/>
              </w:rPr>
            </w:pPr>
            <w:r w:rsidRPr="006167D4">
              <w:rPr>
                <w:rFonts w:cs="Arial"/>
                <w:b/>
                <w:sz w:val="24"/>
                <w:szCs w:val="24"/>
              </w:rPr>
              <w:t>WA</w:t>
            </w:r>
          </w:p>
        </w:tc>
      </w:tr>
      <w:tr w:rsidR="00E473D5" w:rsidRPr="009560AF" w14:paraId="743B30D1" w14:textId="77777777" w:rsidTr="001F26DC">
        <w:trPr>
          <w:trHeight w:val="1712"/>
          <w:jc w:val="center"/>
        </w:trPr>
        <w:tc>
          <w:tcPr>
            <w:tcW w:w="1809" w:type="dxa"/>
            <w:tcBorders>
              <w:bottom w:val="nil"/>
            </w:tcBorders>
          </w:tcPr>
          <w:p w14:paraId="5E018DC5" w14:textId="77777777" w:rsidR="00E473D5" w:rsidRPr="006167D4" w:rsidRDefault="00E473D5" w:rsidP="000D630E">
            <w:pPr>
              <w:pStyle w:val="OutlineNumbered1"/>
              <w:numPr>
                <w:ilvl w:val="0"/>
                <w:numId w:val="0"/>
              </w:numPr>
              <w:ind w:left="34"/>
              <w:rPr>
                <w:rFonts w:cs="Arial"/>
                <w:sz w:val="24"/>
                <w:szCs w:val="24"/>
              </w:rPr>
            </w:pPr>
            <w:r w:rsidRPr="006167D4">
              <w:rPr>
                <w:rFonts w:cs="Arial"/>
                <w:sz w:val="24"/>
                <w:szCs w:val="24"/>
              </w:rPr>
              <w:t>Classification of Value of Goods</w:t>
            </w:r>
          </w:p>
        </w:tc>
        <w:tc>
          <w:tcPr>
            <w:tcW w:w="2336" w:type="dxa"/>
            <w:shd w:val="clear" w:color="auto" w:fill="DFEBCE" w:themeFill="accent4" w:themeFillTint="33"/>
          </w:tcPr>
          <w:p w14:paraId="7CA89AA6" w14:textId="77777777" w:rsidR="00E473D5" w:rsidRPr="006167D4" w:rsidRDefault="00E473D5" w:rsidP="000D630E">
            <w:pPr>
              <w:pStyle w:val="ListParagraph"/>
              <w:numPr>
                <w:ilvl w:val="0"/>
                <w:numId w:val="28"/>
              </w:numPr>
              <w:spacing w:after="100" w:afterAutospacing="1" w:line="240" w:lineRule="atLeast"/>
              <w:ind w:left="357" w:hanging="357"/>
            </w:pPr>
            <w:r w:rsidRPr="006167D4">
              <w:t>Less than $100</w:t>
            </w:r>
          </w:p>
          <w:p w14:paraId="6B41DB92" w14:textId="77777777" w:rsidR="00E473D5" w:rsidRPr="006167D4" w:rsidRDefault="00E473D5" w:rsidP="000D630E">
            <w:pPr>
              <w:pStyle w:val="ListParagraph"/>
              <w:numPr>
                <w:ilvl w:val="0"/>
                <w:numId w:val="28"/>
              </w:numPr>
              <w:spacing w:after="100" w:afterAutospacing="1" w:line="240" w:lineRule="atLeast"/>
              <w:ind w:left="357" w:hanging="357"/>
            </w:pPr>
            <w:r w:rsidRPr="006167D4">
              <w:t>Between $100 and $500</w:t>
            </w:r>
          </w:p>
          <w:p w14:paraId="58916740" w14:textId="77777777" w:rsidR="00E473D5" w:rsidRPr="006167D4" w:rsidRDefault="00E473D5" w:rsidP="000D630E">
            <w:pPr>
              <w:pStyle w:val="ListParagraph"/>
              <w:numPr>
                <w:ilvl w:val="0"/>
                <w:numId w:val="28"/>
              </w:numPr>
              <w:spacing w:after="100" w:afterAutospacing="1" w:line="240" w:lineRule="atLeast"/>
              <w:ind w:left="357" w:hanging="357"/>
            </w:pPr>
            <w:r w:rsidRPr="006167D4">
              <w:t>Between $500 and $5,000</w:t>
            </w:r>
          </w:p>
          <w:p w14:paraId="5D32DBCA" w14:textId="77777777" w:rsidR="00E473D5" w:rsidRPr="006167D4" w:rsidRDefault="00E473D5" w:rsidP="000D630E">
            <w:pPr>
              <w:pStyle w:val="ListParagraph"/>
              <w:numPr>
                <w:ilvl w:val="0"/>
                <w:numId w:val="28"/>
              </w:numPr>
              <w:spacing w:after="100" w:afterAutospacing="1" w:line="240" w:lineRule="atLeast"/>
              <w:ind w:left="357" w:hanging="357"/>
            </w:pPr>
            <w:r w:rsidRPr="006167D4">
              <w:t>Over $5,000</w:t>
            </w:r>
          </w:p>
        </w:tc>
        <w:tc>
          <w:tcPr>
            <w:tcW w:w="2336" w:type="dxa"/>
            <w:shd w:val="clear" w:color="auto" w:fill="F8E2CF" w:themeFill="accent2" w:themeFillTint="33"/>
          </w:tcPr>
          <w:p w14:paraId="0326B08C" w14:textId="77777777" w:rsidR="00E473D5" w:rsidRPr="006167D4" w:rsidRDefault="00E473D5" w:rsidP="000D630E">
            <w:pPr>
              <w:pStyle w:val="ListParagraph"/>
              <w:numPr>
                <w:ilvl w:val="0"/>
                <w:numId w:val="28"/>
              </w:numPr>
              <w:spacing w:after="100" w:afterAutospacing="1" w:line="240" w:lineRule="atLeast"/>
              <w:ind w:left="357" w:hanging="357"/>
            </w:pPr>
            <w:r w:rsidRPr="006167D4">
              <w:t>Less than $200</w:t>
            </w:r>
          </w:p>
          <w:p w14:paraId="7E4FAE5E" w14:textId="77777777" w:rsidR="00E473D5" w:rsidRPr="006167D4" w:rsidRDefault="00E473D5" w:rsidP="000D630E">
            <w:pPr>
              <w:pStyle w:val="ListParagraph"/>
              <w:numPr>
                <w:ilvl w:val="0"/>
                <w:numId w:val="28"/>
              </w:numPr>
              <w:spacing w:after="100" w:afterAutospacing="1" w:line="240" w:lineRule="atLeast"/>
              <w:ind w:left="357" w:hanging="357"/>
            </w:pPr>
            <w:r w:rsidRPr="006167D4">
              <w:t>Between $200 and $5,000</w:t>
            </w:r>
          </w:p>
          <w:p w14:paraId="51E13F3D" w14:textId="77777777" w:rsidR="00E473D5" w:rsidRPr="006167D4" w:rsidRDefault="00E473D5" w:rsidP="000D630E">
            <w:pPr>
              <w:pStyle w:val="ListParagraph"/>
              <w:numPr>
                <w:ilvl w:val="0"/>
                <w:numId w:val="28"/>
              </w:numPr>
              <w:spacing w:after="100" w:afterAutospacing="1" w:line="240" w:lineRule="atLeast"/>
              <w:ind w:left="357" w:hanging="357"/>
            </w:pPr>
            <w:r w:rsidRPr="006167D4">
              <w:t>Over $5,000</w:t>
            </w:r>
          </w:p>
        </w:tc>
        <w:tc>
          <w:tcPr>
            <w:tcW w:w="2336" w:type="dxa"/>
            <w:shd w:val="clear" w:color="auto" w:fill="DCF3FF" w:themeFill="accent6" w:themeFillTint="33"/>
          </w:tcPr>
          <w:p w14:paraId="4943F814" w14:textId="77777777" w:rsidR="00E473D5" w:rsidRPr="006167D4" w:rsidRDefault="00E473D5" w:rsidP="000D630E">
            <w:pPr>
              <w:pStyle w:val="ListParagraph"/>
              <w:numPr>
                <w:ilvl w:val="0"/>
                <w:numId w:val="28"/>
              </w:numPr>
              <w:spacing w:after="100" w:afterAutospacing="1" w:line="240" w:lineRule="atLeast"/>
              <w:ind w:left="357" w:hanging="357"/>
            </w:pPr>
            <w:r w:rsidRPr="006167D4">
              <w:t>Less than $500</w:t>
            </w:r>
          </w:p>
          <w:p w14:paraId="4F90E6D7" w14:textId="77777777" w:rsidR="00E473D5" w:rsidRPr="006167D4" w:rsidRDefault="00E473D5" w:rsidP="000D630E">
            <w:pPr>
              <w:pStyle w:val="ListParagraph"/>
              <w:numPr>
                <w:ilvl w:val="0"/>
                <w:numId w:val="28"/>
              </w:numPr>
              <w:spacing w:after="100" w:afterAutospacing="1" w:line="240" w:lineRule="atLeast"/>
              <w:ind w:left="357" w:hanging="357"/>
            </w:pPr>
            <w:r w:rsidRPr="006167D4">
              <w:t>Between $500 and $2,000</w:t>
            </w:r>
          </w:p>
          <w:p w14:paraId="04F49C34" w14:textId="77777777" w:rsidR="00E473D5" w:rsidRPr="006167D4" w:rsidRDefault="00E473D5" w:rsidP="000D630E">
            <w:pPr>
              <w:pStyle w:val="ListParagraph"/>
              <w:numPr>
                <w:ilvl w:val="0"/>
                <w:numId w:val="28"/>
              </w:numPr>
              <w:spacing w:after="100" w:afterAutospacing="1" w:line="240" w:lineRule="atLeast"/>
              <w:ind w:left="357" w:hanging="357"/>
            </w:pPr>
            <w:r w:rsidRPr="006167D4">
              <w:t>Over $2,000</w:t>
            </w:r>
          </w:p>
        </w:tc>
        <w:tc>
          <w:tcPr>
            <w:tcW w:w="2336" w:type="dxa"/>
            <w:shd w:val="clear" w:color="auto" w:fill="FFCC99"/>
          </w:tcPr>
          <w:p w14:paraId="37191F0E" w14:textId="77777777" w:rsidR="00E473D5" w:rsidRPr="006167D4" w:rsidRDefault="00E473D5" w:rsidP="000D630E">
            <w:pPr>
              <w:pStyle w:val="ListParagraph"/>
              <w:numPr>
                <w:ilvl w:val="0"/>
                <w:numId w:val="28"/>
              </w:numPr>
              <w:spacing w:after="100" w:afterAutospacing="1" w:line="240" w:lineRule="atLeast"/>
              <w:ind w:left="357" w:hanging="357"/>
            </w:pPr>
            <w:r w:rsidRPr="006167D4">
              <w:t>Prescribed goods</w:t>
            </w:r>
          </w:p>
          <w:p w14:paraId="59C91D59" w14:textId="77777777" w:rsidR="00E473D5" w:rsidRPr="006167D4" w:rsidRDefault="00E473D5" w:rsidP="000D630E">
            <w:pPr>
              <w:pStyle w:val="ListParagraph"/>
              <w:numPr>
                <w:ilvl w:val="0"/>
                <w:numId w:val="28"/>
              </w:numPr>
              <w:spacing w:after="100" w:afterAutospacing="1" w:line="240" w:lineRule="atLeast"/>
              <w:ind w:left="357" w:hanging="357"/>
            </w:pPr>
            <w:r w:rsidRPr="006167D4">
              <w:t>Less than $3,500 (not prescribed)</w:t>
            </w:r>
          </w:p>
          <w:p w14:paraId="1377C131" w14:textId="77777777" w:rsidR="00E473D5" w:rsidRPr="006167D4" w:rsidRDefault="00E473D5" w:rsidP="000D630E">
            <w:pPr>
              <w:pStyle w:val="ListParagraph"/>
              <w:spacing w:after="100" w:afterAutospacing="1" w:line="240" w:lineRule="atLeast"/>
              <w:ind w:left="357" w:hanging="357"/>
            </w:pPr>
            <w:r w:rsidRPr="006167D4">
              <w:t>$3,500 or more (not prescribed)</w:t>
            </w:r>
          </w:p>
        </w:tc>
      </w:tr>
      <w:tr w:rsidR="00E473D5" w:rsidRPr="009560AF" w14:paraId="667438C9" w14:textId="77777777" w:rsidTr="001F26DC">
        <w:trPr>
          <w:trHeight w:val="108"/>
          <w:jc w:val="center"/>
        </w:trPr>
        <w:tc>
          <w:tcPr>
            <w:tcW w:w="1809" w:type="dxa"/>
            <w:tcBorders>
              <w:top w:val="nil"/>
              <w:bottom w:val="nil"/>
            </w:tcBorders>
          </w:tcPr>
          <w:p w14:paraId="1DCCAEB9" w14:textId="77777777" w:rsidR="00E473D5" w:rsidRPr="00DF5911" w:rsidRDefault="00E473D5" w:rsidP="000D630E">
            <w:pPr>
              <w:pStyle w:val="OutlineNumbered1"/>
              <w:numPr>
                <w:ilvl w:val="0"/>
                <w:numId w:val="0"/>
              </w:numPr>
              <w:spacing w:after="0" w:line="240" w:lineRule="auto"/>
              <w:ind w:left="520" w:hanging="520"/>
              <w:rPr>
                <w:rFonts w:cs="Arial"/>
                <w:sz w:val="24"/>
                <w:szCs w:val="24"/>
              </w:rPr>
            </w:pPr>
          </w:p>
        </w:tc>
        <w:tc>
          <w:tcPr>
            <w:tcW w:w="2336" w:type="dxa"/>
            <w:shd w:val="clear" w:color="auto" w:fill="FF9999"/>
          </w:tcPr>
          <w:p w14:paraId="5057BF28" w14:textId="77777777" w:rsidR="00E473D5" w:rsidRPr="006167D4" w:rsidRDefault="00E473D5" w:rsidP="000D630E">
            <w:pPr>
              <w:jc w:val="center"/>
              <w:rPr>
                <w:rFonts w:cs="Arial"/>
                <w:b/>
                <w:sz w:val="24"/>
                <w:szCs w:val="24"/>
              </w:rPr>
            </w:pPr>
            <w:r w:rsidRPr="006167D4">
              <w:rPr>
                <w:rFonts w:cs="Arial"/>
                <w:b/>
                <w:sz w:val="24"/>
                <w:szCs w:val="24"/>
              </w:rPr>
              <w:t>ACT</w:t>
            </w:r>
          </w:p>
        </w:tc>
        <w:tc>
          <w:tcPr>
            <w:tcW w:w="2336" w:type="dxa"/>
            <w:shd w:val="clear" w:color="auto" w:fill="E0C1ED" w:themeFill="text2" w:themeFillTint="33"/>
          </w:tcPr>
          <w:p w14:paraId="514D341A" w14:textId="77777777" w:rsidR="00E473D5" w:rsidRPr="006167D4" w:rsidRDefault="00E473D5" w:rsidP="000D630E">
            <w:pPr>
              <w:jc w:val="center"/>
              <w:rPr>
                <w:rFonts w:cs="Arial"/>
                <w:b/>
                <w:sz w:val="24"/>
                <w:szCs w:val="24"/>
              </w:rPr>
            </w:pPr>
            <w:r w:rsidRPr="006167D4">
              <w:rPr>
                <w:rFonts w:cs="Arial"/>
                <w:b/>
                <w:sz w:val="24"/>
                <w:szCs w:val="24"/>
              </w:rPr>
              <w:t>Qld</w:t>
            </w:r>
          </w:p>
        </w:tc>
        <w:tc>
          <w:tcPr>
            <w:tcW w:w="2336" w:type="dxa"/>
            <w:shd w:val="clear" w:color="auto" w:fill="FFFFCC"/>
          </w:tcPr>
          <w:p w14:paraId="19D4A9BB" w14:textId="77777777" w:rsidR="00E473D5" w:rsidRPr="006167D4" w:rsidRDefault="00E473D5" w:rsidP="000D630E">
            <w:pPr>
              <w:jc w:val="center"/>
              <w:rPr>
                <w:rFonts w:cs="Arial"/>
                <w:b/>
                <w:sz w:val="24"/>
                <w:szCs w:val="24"/>
              </w:rPr>
            </w:pPr>
            <w:proofErr w:type="spellStart"/>
            <w:r w:rsidRPr="006167D4">
              <w:rPr>
                <w:rFonts w:cs="Arial"/>
                <w:b/>
                <w:sz w:val="24"/>
                <w:szCs w:val="24"/>
              </w:rPr>
              <w:t>Tas</w:t>
            </w:r>
            <w:proofErr w:type="spellEnd"/>
          </w:p>
        </w:tc>
        <w:tc>
          <w:tcPr>
            <w:tcW w:w="2336" w:type="dxa"/>
            <w:shd w:val="clear" w:color="auto" w:fill="D9D9D9" w:themeFill="background1" w:themeFillShade="D9"/>
          </w:tcPr>
          <w:p w14:paraId="0E802E13" w14:textId="77777777" w:rsidR="00E473D5" w:rsidRPr="006167D4" w:rsidRDefault="00E473D5" w:rsidP="000D630E">
            <w:pPr>
              <w:jc w:val="center"/>
              <w:rPr>
                <w:rFonts w:cs="Arial"/>
                <w:b/>
                <w:sz w:val="24"/>
                <w:szCs w:val="24"/>
              </w:rPr>
            </w:pPr>
            <w:r w:rsidRPr="006167D4">
              <w:rPr>
                <w:rFonts w:cs="Arial"/>
                <w:b/>
                <w:sz w:val="24"/>
                <w:szCs w:val="24"/>
              </w:rPr>
              <w:t>NT</w:t>
            </w:r>
          </w:p>
        </w:tc>
      </w:tr>
      <w:tr w:rsidR="00E473D5" w:rsidRPr="009560AF" w14:paraId="09B8E5C3" w14:textId="77777777" w:rsidTr="001F26DC">
        <w:trPr>
          <w:trHeight w:val="1648"/>
          <w:jc w:val="center"/>
        </w:trPr>
        <w:tc>
          <w:tcPr>
            <w:tcW w:w="1809" w:type="dxa"/>
            <w:tcBorders>
              <w:top w:val="nil"/>
            </w:tcBorders>
          </w:tcPr>
          <w:p w14:paraId="13B36578" w14:textId="77777777" w:rsidR="00E473D5" w:rsidRPr="00DF5911" w:rsidRDefault="00E473D5" w:rsidP="000D630E">
            <w:pPr>
              <w:pStyle w:val="OutlineNumbered1"/>
              <w:numPr>
                <w:ilvl w:val="0"/>
                <w:numId w:val="0"/>
              </w:numPr>
              <w:spacing w:after="0" w:line="240" w:lineRule="auto"/>
              <w:ind w:left="520" w:hanging="520"/>
              <w:rPr>
                <w:rFonts w:cs="Arial"/>
                <w:sz w:val="24"/>
                <w:szCs w:val="24"/>
              </w:rPr>
            </w:pPr>
          </w:p>
        </w:tc>
        <w:tc>
          <w:tcPr>
            <w:tcW w:w="2336" w:type="dxa"/>
            <w:shd w:val="clear" w:color="auto" w:fill="FF9999"/>
          </w:tcPr>
          <w:p w14:paraId="64485607" w14:textId="77777777" w:rsidR="00E473D5" w:rsidRPr="006167D4" w:rsidRDefault="00E473D5" w:rsidP="000D630E">
            <w:pPr>
              <w:pStyle w:val="ListParagraph"/>
              <w:numPr>
                <w:ilvl w:val="0"/>
                <w:numId w:val="28"/>
              </w:numPr>
              <w:spacing w:after="100" w:afterAutospacing="1" w:line="240" w:lineRule="atLeast"/>
              <w:ind w:left="357" w:hanging="357"/>
            </w:pPr>
            <w:r w:rsidRPr="006167D4">
              <w:t>Less than $20</w:t>
            </w:r>
          </w:p>
          <w:p w14:paraId="4619358A" w14:textId="77777777" w:rsidR="00E473D5" w:rsidRPr="006167D4" w:rsidRDefault="00E473D5" w:rsidP="000D630E">
            <w:pPr>
              <w:pStyle w:val="ListParagraph"/>
              <w:numPr>
                <w:ilvl w:val="0"/>
                <w:numId w:val="28"/>
              </w:numPr>
              <w:spacing w:after="100" w:afterAutospacing="1" w:line="240" w:lineRule="atLeast"/>
              <w:ind w:left="357" w:hanging="357"/>
            </w:pPr>
            <w:r w:rsidRPr="006167D4">
              <w:t>Between $20 and $500</w:t>
            </w:r>
          </w:p>
          <w:p w14:paraId="5027D7A8" w14:textId="77777777" w:rsidR="00E473D5" w:rsidRPr="006167D4" w:rsidRDefault="00E473D5" w:rsidP="000D630E">
            <w:pPr>
              <w:pStyle w:val="ListParagraph"/>
              <w:numPr>
                <w:ilvl w:val="0"/>
                <w:numId w:val="28"/>
              </w:numPr>
              <w:spacing w:after="100" w:afterAutospacing="1" w:line="240" w:lineRule="atLeast"/>
              <w:ind w:left="357" w:hanging="357"/>
            </w:pPr>
            <w:r w:rsidRPr="006167D4">
              <w:t>Over $500</w:t>
            </w:r>
          </w:p>
        </w:tc>
        <w:tc>
          <w:tcPr>
            <w:tcW w:w="2336" w:type="dxa"/>
            <w:shd w:val="clear" w:color="auto" w:fill="E0C1ED" w:themeFill="text2" w:themeFillTint="33"/>
          </w:tcPr>
          <w:p w14:paraId="238930C8" w14:textId="77777777" w:rsidR="00E473D5" w:rsidRPr="006167D4" w:rsidRDefault="00E473D5" w:rsidP="000D630E">
            <w:pPr>
              <w:pStyle w:val="ListParagraph"/>
              <w:numPr>
                <w:ilvl w:val="0"/>
                <w:numId w:val="28"/>
              </w:numPr>
              <w:spacing w:after="100" w:afterAutospacing="1" w:line="240" w:lineRule="atLeast"/>
              <w:ind w:left="357" w:hanging="357"/>
            </w:pPr>
            <w:r w:rsidRPr="006167D4">
              <w:t>All values receive the same classification</w:t>
            </w:r>
          </w:p>
        </w:tc>
        <w:tc>
          <w:tcPr>
            <w:tcW w:w="2336" w:type="dxa"/>
            <w:shd w:val="clear" w:color="auto" w:fill="FFFFCC"/>
          </w:tcPr>
          <w:p w14:paraId="61213FF2" w14:textId="77777777" w:rsidR="00E473D5" w:rsidRPr="006167D4" w:rsidRDefault="00E473D5" w:rsidP="000D630E">
            <w:pPr>
              <w:pStyle w:val="ListParagraph"/>
              <w:numPr>
                <w:ilvl w:val="0"/>
                <w:numId w:val="28"/>
              </w:numPr>
              <w:spacing w:after="100" w:afterAutospacing="1" w:line="240" w:lineRule="atLeast"/>
              <w:ind w:left="357" w:hanging="357"/>
            </w:pPr>
            <w:r w:rsidRPr="006167D4">
              <w:t>All values receive the same classification</w:t>
            </w:r>
          </w:p>
        </w:tc>
        <w:tc>
          <w:tcPr>
            <w:tcW w:w="2336" w:type="dxa"/>
            <w:shd w:val="clear" w:color="auto" w:fill="D9D9D9" w:themeFill="background1" w:themeFillShade="D9"/>
          </w:tcPr>
          <w:p w14:paraId="539F1834" w14:textId="77777777" w:rsidR="00E473D5" w:rsidRPr="006167D4" w:rsidRDefault="00E473D5" w:rsidP="000D630E">
            <w:pPr>
              <w:pStyle w:val="ListParagraph"/>
              <w:numPr>
                <w:ilvl w:val="0"/>
                <w:numId w:val="28"/>
              </w:numPr>
              <w:spacing w:after="100" w:afterAutospacing="1" w:line="240" w:lineRule="atLeast"/>
              <w:ind w:left="357" w:hanging="357"/>
            </w:pPr>
            <w:r w:rsidRPr="006167D4">
              <w:t>Less than $200</w:t>
            </w:r>
          </w:p>
          <w:p w14:paraId="1970754F" w14:textId="77777777" w:rsidR="00E473D5" w:rsidRPr="006167D4" w:rsidRDefault="00E473D5" w:rsidP="000D630E">
            <w:pPr>
              <w:pStyle w:val="ListParagraph"/>
              <w:numPr>
                <w:ilvl w:val="0"/>
                <w:numId w:val="28"/>
              </w:numPr>
              <w:spacing w:after="100" w:afterAutospacing="1" w:line="240" w:lineRule="atLeast"/>
              <w:ind w:left="357" w:hanging="357"/>
            </w:pPr>
            <w:r w:rsidRPr="006167D4">
              <w:t>Between $200 and $1,000</w:t>
            </w:r>
          </w:p>
          <w:p w14:paraId="0A511931" w14:textId="77777777" w:rsidR="00E473D5" w:rsidRPr="006167D4" w:rsidRDefault="00E473D5" w:rsidP="000D630E">
            <w:pPr>
              <w:pStyle w:val="ListParagraph"/>
              <w:numPr>
                <w:ilvl w:val="0"/>
                <w:numId w:val="28"/>
              </w:numPr>
              <w:spacing w:after="100" w:afterAutospacing="1" w:line="240" w:lineRule="atLeast"/>
              <w:ind w:left="357" w:hanging="357"/>
            </w:pPr>
            <w:r w:rsidRPr="006167D4">
              <w:t>Between $1,00 and $7,000</w:t>
            </w:r>
          </w:p>
          <w:p w14:paraId="644016D5" w14:textId="77777777" w:rsidR="00E473D5" w:rsidRPr="006167D4" w:rsidRDefault="00E473D5" w:rsidP="000D630E">
            <w:pPr>
              <w:pStyle w:val="ListParagraph"/>
              <w:numPr>
                <w:ilvl w:val="0"/>
                <w:numId w:val="28"/>
              </w:numPr>
              <w:spacing w:after="100" w:afterAutospacing="1" w:line="240" w:lineRule="atLeast"/>
              <w:ind w:left="357" w:hanging="357"/>
            </w:pPr>
            <w:r w:rsidRPr="006167D4">
              <w:t>Over $7,000</w:t>
            </w:r>
          </w:p>
        </w:tc>
      </w:tr>
    </w:tbl>
    <w:p w14:paraId="3B4759FA" w14:textId="748041CC" w:rsidR="00462FA9" w:rsidRDefault="00020592" w:rsidP="00020592">
      <w:pPr>
        <w:rPr>
          <w:lang w:val="en-AU"/>
        </w:rPr>
      </w:pPr>
      <w:r w:rsidRPr="00E473D5">
        <w:rPr>
          <w:lang w:val="en-AU"/>
        </w:rPr>
        <w:t xml:space="preserve">Queensland and Tasmania are the only </w:t>
      </w:r>
      <w:r w:rsidR="002E2C9C" w:rsidRPr="00E473D5">
        <w:rPr>
          <w:lang w:val="en-AU"/>
        </w:rPr>
        <w:t xml:space="preserve">remaining </w:t>
      </w:r>
      <w:r w:rsidRPr="00E473D5">
        <w:rPr>
          <w:lang w:val="en-AU"/>
        </w:rPr>
        <w:t xml:space="preserve">jurisdictions without a categorisation by values. </w:t>
      </w:r>
    </w:p>
    <w:p w14:paraId="59940829" w14:textId="12BF060A" w:rsidR="00020592" w:rsidRPr="00E473D5" w:rsidRDefault="00020592" w:rsidP="00020592">
      <w:pPr>
        <w:rPr>
          <w:lang w:val="en-AU"/>
        </w:rPr>
      </w:pPr>
      <w:r w:rsidRPr="00E473D5">
        <w:rPr>
          <w:lang w:val="en-AU"/>
        </w:rPr>
        <w:t>In 2013</w:t>
      </w:r>
      <w:r w:rsidR="00AF1A9E">
        <w:rPr>
          <w:lang w:val="en-AU"/>
        </w:rPr>
        <w:t>,</w:t>
      </w:r>
      <w:r w:rsidRPr="00E473D5">
        <w:rPr>
          <w:lang w:val="en-AU"/>
        </w:rPr>
        <w:t xml:space="preserve"> South Australia reviewed and remade their regulations. The changes they made included a redefinition of their classification of values. It was recognised that between 1987 </w:t>
      </w:r>
      <w:r w:rsidR="00462FA9">
        <w:rPr>
          <w:lang w:val="en-AU"/>
        </w:rPr>
        <w:t>(</w:t>
      </w:r>
      <w:r w:rsidRPr="00E473D5">
        <w:rPr>
          <w:lang w:val="en-AU"/>
        </w:rPr>
        <w:t xml:space="preserve">when </w:t>
      </w:r>
      <w:r w:rsidR="002E2C9C">
        <w:rPr>
          <w:lang w:val="en-AU"/>
        </w:rPr>
        <w:t>the Unclaimed Goods</w:t>
      </w:r>
      <w:r w:rsidR="002E2C9C" w:rsidRPr="00E473D5">
        <w:rPr>
          <w:lang w:val="en-AU"/>
        </w:rPr>
        <w:t xml:space="preserve"> </w:t>
      </w:r>
      <w:r w:rsidRPr="00E473D5">
        <w:rPr>
          <w:lang w:val="en-AU"/>
        </w:rPr>
        <w:t>Act was first introduced</w:t>
      </w:r>
      <w:r w:rsidR="00462FA9">
        <w:rPr>
          <w:lang w:val="en-AU"/>
        </w:rPr>
        <w:t>)</w:t>
      </w:r>
      <w:r w:rsidRPr="00E473D5">
        <w:rPr>
          <w:lang w:val="en-AU"/>
        </w:rPr>
        <w:t xml:space="preserve"> and 2013</w:t>
      </w:r>
      <w:r w:rsidR="002E2C9C">
        <w:rPr>
          <w:lang w:val="en-AU"/>
        </w:rPr>
        <w:t>,</w:t>
      </w:r>
      <w:r w:rsidRPr="00E473D5">
        <w:rPr>
          <w:lang w:val="en-AU"/>
        </w:rPr>
        <w:t xml:space="preserve"> the cost of goods had changed and an increased </w:t>
      </w:r>
      <w:r w:rsidR="00DF2CB4">
        <w:rPr>
          <w:lang w:val="en-AU"/>
        </w:rPr>
        <w:t>‘</w:t>
      </w:r>
      <w:r w:rsidRPr="00E473D5">
        <w:rPr>
          <w:lang w:val="en-AU"/>
        </w:rPr>
        <w:t>throwaway</w:t>
      </w:r>
      <w:r w:rsidR="00DF2CB4">
        <w:rPr>
          <w:lang w:val="en-AU"/>
        </w:rPr>
        <w:t>’ trend in consumer purchasing behaviours</w:t>
      </w:r>
      <w:r w:rsidRPr="00E473D5">
        <w:rPr>
          <w:lang w:val="en-AU"/>
        </w:rPr>
        <w:t xml:space="preserve"> had developed.</w:t>
      </w:r>
    </w:p>
    <w:p w14:paraId="1F0A02AF" w14:textId="77777777" w:rsidR="00020592" w:rsidRPr="00E473D5" w:rsidRDefault="00020592" w:rsidP="00020592">
      <w:pPr>
        <w:pStyle w:val="Heading2"/>
        <w:rPr>
          <w:lang w:val="en-AU"/>
        </w:rPr>
      </w:pPr>
      <w:bookmarkStart w:id="17" w:name="_Toc1132973"/>
      <w:r w:rsidRPr="00E473D5">
        <w:rPr>
          <w:lang w:val="en-AU"/>
        </w:rPr>
        <w:t>Notice Requirements</w:t>
      </w:r>
      <w:bookmarkEnd w:id="17"/>
    </w:p>
    <w:p w14:paraId="1BC8EFFB" w14:textId="77777777" w:rsidR="00462FA9" w:rsidRDefault="00020592" w:rsidP="00020592">
      <w:pPr>
        <w:rPr>
          <w:lang w:val="en-AU"/>
        </w:rPr>
      </w:pPr>
      <w:r w:rsidRPr="00E473D5">
        <w:rPr>
          <w:lang w:val="en-AU"/>
        </w:rPr>
        <w:t xml:space="preserve">Making the </w:t>
      </w:r>
      <w:r w:rsidR="00462FA9">
        <w:rPr>
          <w:lang w:val="en-AU"/>
        </w:rPr>
        <w:t>customer (</w:t>
      </w:r>
      <w:r w:rsidRPr="00E473D5">
        <w:rPr>
          <w:lang w:val="en-AU"/>
        </w:rPr>
        <w:t>bailor</w:t>
      </w:r>
      <w:r w:rsidR="00462FA9">
        <w:rPr>
          <w:lang w:val="en-AU"/>
        </w:rPr>
        <w:t>)</w:t>
      </w:r>
      <w:r w:rsidRPr="00E473D5">
        <w:rPr>
          <w:lang w:val="en-AU"/>
        </w:rPr>
        <w:t xml:space="preserve"> aware that their goods are ready for collection and subsequently will be disposed of unless they are collected</w:t>
      </w:r>
      <w:r w:rsidR="00462FA9">
        <w:rPr>
          <w:lang w:val="en-AU"/>
        </w:rPr>
        <w:t>,</w:t>
      </w:r>
      <w:r w:rsidRPr="00E473D5">
        <w:rPr>
          <w:lang w:val="en-AU"/>
        </w:rPr>
        <w:t xml:space="preserve"> is a way of removing liability from the business wishing to dispose. </w:t>
      </w:r>
    </w:p>
    <w:p w14:paraId="797D2304" w14:textId="29FA6DA0" w:rsidR="00462FA9" w:rsidRDefault="00462FA9" w:rsidP="00020592">
      <w:pPr>
        <w:rPr>
          <w:lang w:val="en-AU"/>
        </w:rPr>
      </w:pPr>
      <w:r>
        <w:rPr>
          <w:lang w:val="en-AU"/>
        </w:rPr>
        <w:t>However</w:t>
      </w:r>
      <w:r w:rsidR="00AF1A9E">
        <w:rPr>
          <w:lang w:val="en-AU"/>
        </w:rPr>
        <w:t>,</w:t>
      </w:r>
      <w:r>
        <w:rPr>
          <w:lang w:val="en-AU"/>
        </w:rPr>
        <w:t xml:space="preserve"> t</w:t>
      </w:r>
      <w:r w:rsidRPr="00E473D5">
        <w:rPr>
          <w:lang w:val="en-AU"/>
        </w:rPr>
        <w:t xml:space="preserve">here </w:t>
      </w:r>
      <w:r>
        <w:rPr>
          <w:lang w:val="en-AU"/>
        </w:rPr>
        <w:t>are significant differences</w:t>
      </w:r>
      <w:r w:rsidR="00020592" w:rsidRPr="00E473D5">
        <w:rPr>
          <w:lang w:val="en-AU"/>
        </w:rPr>
        <w:t xml:space="preserve"> in notice requirements </w:t>
      </w:r>
      <w:r>
        <w:rPr>
          <w:lang w:val="en-AU"/>
        </w:rPr>
        <w:t>across</w:t>
      </w:r>
      <w:r w:rsidRPr="00E473D5">
        <w:rPr>
          <w:lang w:val="en-AU"/>
        </w:rPr>
        <w:t xml:space="preserve"> </w:t>
      </w:r>
      <w:r w:rsidR="00020592" w:rsidRPr="00E473D5">
        <w:rPr>
          <w:lang w:val="en-AU"/>
        </w:rPr>
        <w:t xml:space="preserve">each jurisdiction (Appendix 1). </w:t>
      </w:r>
    </w:p>
    <w:p w14:paraId="5E15BBBB" w14:textId="1DE92907" w:rsidR="00020592" w:rsidRPr="00E473D5" w:rsidRDefault="00020592" w:rsidP="00020592">
      <w:pPr>
        <w:rPr>
          <w:lang w:val="en-AU"/>
        </w:rPr>
      </w:pPr>
      <w:r w:rsidRPr="00E473D5">
        <w:rPr>
          <w:lang w:val="en-AU"/>
        </w:rPr>
        <w:lastRenderedPageBreak/>
        <w:t>The first stage in each jurisdiction is a notice of intention to dispose</w:t>
      </w:r>
      <w:r w:rsidR="00462FA9">
        <w:rPr>
          <w:lang w:val="en-AU"/>
        </w:rPr>
        <w:t>,</w:t>
      </w:r>
      <w:r w:rsidRPr="00E473D5">
        <w:rPr>
          <w:lang w:val="en-AU"/>
        </w:rPr>
        <w:t xml:space="preserve"> </w:t>
      </w:r>
      <w:r w:rsidR="00801634">
        <w:rPr>
          <w:lang w:val="en-AU"/>
        </w:rPr>
        <w:t>also</w:t>
      </w:r>
      <w:r w:rsidR="00801634" w:rsidRPr="00E473D5">
        <w:rPr>
          <w:lang w:val="en-AU"/>
        </w:rPr>
        <w:t xml:space="preserve"> </w:t>
      </w:r>
      <w:r w:rsidRPr="00E473D5">
        <w:rPr>
          <w:lang w:val="en-AU"/>
        </w:rPr>
        <w:t xml:space="preserve">called a notice of goods ready for redelivery or collection, dependent on the </w:t>
      </w:r>
      <w:r w:rsidR="00801634">
        <w:rPr>
          <w:lang w:val="en-AU"/>
        </w:rPr>
        <w:t xml:space="preserve">specified </w:t>
      </w:r>
      <w:r w:rsidRPr="00E473D5">
        <w:rPr>
          <w:lang w:val="en-AU"/>
        </w:rPr>
        <w:t xml:space="preserve">circumstances. Further notices or contact requirements may </w:t>
      </w:r>
      <w:r w:rsidR="002E2C9C">
        <w:rPr>
          <w:lang w:val="en-AU"/>
        </w:rPr>
        <w:t>also</w:t>
      </w:r>
      <w:r w:rsidRPr="00E473D5">
        <w:rPr>
          <w:lang w:val="en-AU"/>
        </w:rPr>
        <w:t xml:space="preserve"> apply</w:t>
      </w:r>
      <w:r w:rsidR="00801634">
        <w:rPr>
          <w:lang w:val="en-AU"/>
        </w:rPr>
        <w:t xml:space="preserve"> and differ across each of the States and Territories</w:t>
      </w:r>
      <w:r w:rsidRPr="00E473D5">
        <w:rPr>
          <w:lang w:val="en-AU"/>
        </w:rPr>
        <w:t xml:space="preserve">. </w:t>
      </w:r>
    </w:p>
    <w:p w14:paraId="1DDD6121" w14:textId="2A0DF4B4" w:rsidR="00801634" w:rsidRDefault="00020592" w:rsidP="00020592">
      <w:pPr>
        <w:rPr>
          <w:lang w:val="en-AU"/>
        </w:rPr>
      </w:pPr>
      <w:r w:rsidRPr="00E473D5">
        <w:rPr>
          <w:lang w:val="en-AU"/>
        </w:rPr>
        <w:t>Notice</w:t>
      </w:r>
      <w:r w:rsidR="00801634">
        <w:rPr>
          <w:lang w:val="en-AU"/>
        </w:rPr>
        <w:t>s</w:t>
      </w:r>
      <w:r w:rsidRPr="00E473D5">
        <w:rPr>
          <w:lang w:val="en-AU"/>
        </w:rPr>
        <w:t xml:space="preserve"> serve to inform or warn bailors that their goods are ready</w:t>
      </w:r>
      <w:r w:rsidR="00801634">
        <w:rPr>
          <w:lang w:val="en-AU"/>
        </w:rPr>
        <w:t xml:space="preserve"> for collection</w:t>
      </w:r>
      <w:r w:rsidRPr="00E473D5">
        <w:rPr>
          <w:lang w:val="en-AU"/>
        </w:rPr>
        <w:t>, and that they will be disposed of</w:t>
      </w:r>
      <w:r w:rsidR="00801634">
        <w:rPr>
          <w:lang w:val="en-AU"/>
        </w:rPr>
        <w:t>, if the owner fails to collect</w:t>
      </w:r>
      <w:r w:rsidRPr="00E473D5">
        <w:rPr>
          <w:lang w:val="en-AU"/>
        </w:rPr>
        <w:t xml:space="preserve">. </w:t>
      </w:r>
    </w:p>
    <w:p w14:paraId="02CFCBB4" w14:textId="41CEABDD" w:rsidR="00020592" w:rsidRPr="00E473D5" w:rsidRDefault="00801634" w:rsidP="00020592">
      <w:pPr>
        <w:rPr>
          <w:lang w:val="en-AU"/>
        </w:rPr>
      </w:pPr>
      <w:r>
        <w:rPr>
          <w:lang w:val="en-AU"/>
        </w:rPr>
        <w:t>One issue identified is that b</w:t>
      </w:r>
      <w:r w:rsidRPr="00E473D5">
        <w:rPr>
          <w:lang w:val="en-AU"/>
        </w:rPr>
        <w:t xml:space="preserve">efore </w:t>
      </w:r>
      <w:r w:rsidR="00020592" w:rsidRPr="00E473D5">
        <w:rPr>
          <w:lang w:val="en-AU"/>
        </w:rPr>
        <w:t>the first notice</w:t>
      </w:r>
      <w:r>
        <w:rPr>
          <w:lang w:val="en-AU"/>
        </w:rPr>
        <w:t>,</w:t>
      </w:r>
      <w:r w:rsidR="00020592" w:rsidRPr="00E473D5">
        <w:rPr>
          <w:lang w:val="en-AU"/>
        </w:rPr>
        <w:t xml:space="preserve"> bailors may not be aware their goods are ready to be collected. A change of address or phone number can make notice difficult to administer, which is why some jurisdictions require </w:t>
      </w:r>
      <w:r w:rsidR="00FA27D4">
        <w:rPr>
          <w:lang w:val="en-AU"/>
        </w:rPr>
        <w:t>more than one notice,</w:t>
      </w:r>
      <w:r w:rsidR="00020592" w:rsidRPr="00E473D5">
        <w:rPr>
          <w:lang w:val="en-AU"/>
        </w:rPr>
        <w:t xml:space="preserve"> dependent on the goods’ value. </w:t>
      </w:r>
    </w:p>
    <w:p w14:paraId="78C678E7" w14:textId="2FEB9DBA" w:rsidR="00020592" w:rsidRPr="00E473D5" w:rsidRDefault="00020592" w:rsidP="00020592">
      <w:pPr>
        <w:rPr>
          <w:lang w:val="en-AU"/>
        </w:rPr>
      </w:pPr>
      <w:r w:rsidRPr="00E473D5">
        <w:rPr>
          <w:lang w:val="en-AU"/>
        </w:rPr>
        <w:t>For example</w:t>
      </w:r>
      <w:r w:rsidR="002E2C9C">
        <w:rPr>
          <w:lang w:val="en-AU"/>
        </w:rPr>
        <w:t>, the approach taken</w:t>
      </w:r>
      <w:r w:rsidRPr="00E473D5">
        <w:rPr>
          <w:lang w:val="en-AU"/>
        </w:rPr>
        <w:t xml:space="preserve"> in New South Wales </w:t>
      </w:r>
      <w:r w:rsidR="00801634">
        <w:rPr>
          <w:lang w:val="en-AU"/>
        </w:rPr>
        <w:t xml:space="preserve">is that </w:t>
      </w:r>
      <w:r w:rsidRPr="00E473D5">
        <w:rPr>
          <w:lang w:val="en-AU"/>
        </w:rPr>
        <w:t>there are four value categories (Appendix 1),</w:t>
      </w:r>
      <w:r w:rsidR="00875EF2">
        <w:rPr>
          <w:lang w:val="en-AU"/>
        </w:rPr>
        <w:t xml:space="preserve"> </w:t>
      </w:r>
      <w:r w:rsidR="00801634">
        <w:rPr>
          <w:lang w:val="en-AU"/>
        </w:rPr>
        <w:t xml:space="preserve">and </w:t>
      </w:r>
      <w:r w:rsidRPr="00E473D5">
        <w:rPr>
          <w:lang w:val="en-AU"/>
        </w:rPr>
        <w:t xml:space="preserve">each requires a different process of notice: </w:t>
      </w:r>
    </w:p>
    <w:p w14:paraId="71191ED1" w14:textId="77777777" w:rsidR="00020592" w:rsidRPr="006167D4" w:rsidRDefault="00020592" w:rsidP="00801634">
      <w:pPr>
        <w:pStyle w:val="ListParagraph"/>
        <w:numPr>
          <w:ilvl w:val="0"/>
          <w:numId w:val="41"/>
        </w:numPr>
      </w:pPr>
      <w:r w:rsidRPr="006167D4">
        <w:t>category 1: verbal or written notice to the bailor is needed</w:t>
      </w:r>
    </w:p>
    <w:p w14:paraId="6BC0343B" w14:textId="77777777" w:rsidR="00020592" w:rsidRPr="006167D4" w:rsidRDefault="00020592" w:rsidP="00801634">
      <w:pPr>
        <w:pStyle w:val="ListParagraph"/>
        <w:numPr>
          <w:ilvl w:val="0"/>
          <w:numId w:val="41"/>
        </w:numPr>
      </w:pPr>
      <w:r w:rsidRPr="006167D4">
        <w:t>category 2: written notice to any persons claiming interest in goods is needed</w:t>
      </w:r>
    </w:p>
    <w:p w14:paraId="47A0A276" w14:textId="77777777" w:rsidR="00020592" w:rsidRPr="006167D4" w:rsidRDefault="00020592" w:rsidP="00801634">
      <w:pPr>
        <w:pStyle w:val="ListParagraph"/>
        <w:numPr>
          <w:ilvl w:val="0"/>
          <w:numId w:val="41"/>
        </w:numPr>
      </w:pPr>
      <w:r w:rsidRPr="006167D4">
        <w:t xml:space="preserve">category 3: written notice to any persons claiming interest in goods, and a copy of notice published in daily newspaper throughout NSW must be completed </w:t>
      </w:r>
    </w:p>
    <w:p w14:paraId="78855969" w14:textId="3453E8DC" w:rsidR="00020592" w:rsidRPr="006167D4" w:rsidRDefault="00020592" w:rsidP="00801634">
      <w:pPr>
        <w:pStyle w:val="ListParagraph"/>
        <w:numPr>
          <w:ilvl w:val="0"/>
          <w:numId w:val="41"/>
        </w:numPr>
      </w:pPr>
      <w:r w:rsidRPr="006167D4">
        <w:t>category 4: court order must be obtained</w:t>
      </w:r>
    </w:p>
    <w:p w14:paraId="345E63B2" w14:textId="33EBF815" w:rsidR="00020592" w:rsidRPr="00E473D5" w:rsidRDefault="00801634" w:rsidP="00020592">
      <w:pPr>
        <w:rPr>
          <w:lang w:val="en-AU"/>
        </w:rPr>
      </w:pPr>
      <w:r>
        <w:rPr>
          <w:lang w:val="en-AU"/>
        </w:rPr>
        <w:t xml:space="preserve">In contrast, </w:t>
      </w:r>
      <w:r w:rsidR="00020592" w:rsidRPr="00E473D5">
        <w:rPr>
          <w:lang w:val="en-AU"/>
        </w:rPr>
        <w:t xml:space="preserve">Tasmania currently requires that when goods are ready for collection, a notice of goods must be sent to the bailor (and anyone else claiming interest in the goods) and the Commissioner of Police. A notice of intention to sell must then be sent to the bailor (and anyone else claiming interest in the goods). For motor vehicles a notice must also be published in the </w:t>
      </w:r>
      <w:r>
        <w:rPr>
          <w:lang w:val="en-AU"/>
        </w:rPr>
        <w:t xml:space="preserve">Tasmanian Government </w:t>
      </w:r>
      <w:r w:rsidR="00020592" w:rsidRPr="00E473D5">
        <w:rPr>
          <w:lang w:val="en-AU"/>
        </w:rPr>
        <w:t>Gazette.</w:t>
      </w:r>
    </w:p>
    <w:p w14:paraId="242377BC" w14:textId="77777777" w:rsidR="00020592" w:rsidRPr="00E473D5" w:rsidRDefault="00020592" w:rsidP="00020592">
      <w:pPr>
        <w:pStyle w:val="Heading2"/>
        <w:rPr>
          <w:lang w:val="en-AU"/>
        </w:rPr>
      </w:pPr>
      <w:bookmarkStart w:id="18" w:name="_Toc1132974"/>
      <w:r w:rsidRPr="00E473D5">
        <w:rPr>
          <w:lang w:val="en-AU"/>
        </w:rPr>
        <w:t>Retention Period</w:t>
      </w:r>
      <w:bookmarkEnd w:id="18"/>
      <w:r w:rsidRPr="00E473D5">
        <w:rPr>
          <w:lang w:val="en-AU"/>
        </w:rPr>
        <w:t xml:space="preserve"> </w:t>
      </w:r>
    </w:p>
    <w:p w14:paraId="7FB5397D" w14:textId="77777777" w:rsidR="00020592" w:rsidRPr="00E473D5" w:rsidRDefault="00020592" w:rsidP="00020592">
      <w:pPr>
        <w:rPr>
          <w:lang w:val="en-AU"/>
        </w:rPr>
      </w:pPr>
      <w:r w:rsidRPr="00E473D5">
        <w:rPr>
          <w:lang w:val="en-AU"/>
        </w:rPr>
        <w:t xml:space="preserve">A retention period is the minimum time a good must be held by the </w:t>
      </w:r>
      <w:proofErr w:type="spellStart"/>
      <w:r w:rsidRPr="00E473D5">
        <w:rPr>
          <w:lang w:val="en-AU"/>
        </w:rPr>
        <w:t>bailee</w:t>
      </w:r>
      <w:proofErr w:type="spellEnd"/>
      <w:r w:rsidRPr="00E473D5">
        <w:rPr>
          <w:lang w:val="en-AU"/>
        </w:rPr>
        <w:t xml:space="preserve"> before disposal is allowed. A retention period gives the bailor ample opportunity to make reasonable effort to collect their goods. Refer to Appendix 1 for an overview of each jurisdiction’s legislation. </w:t>
      </w:r>
    </w:p>
    <w:p w14:paraId="3D1D7D03" w14:textId="77777777" w:rsidR="007274E1" w:rsidRDefault="00020592" w:rsidP="00020592">
      <w:pPr>
        <w:rPr>
          <w:lang w:val="en-AU"/>
        </w:rPr>
      </w:pPr>
      <w:r w:rsidRPr="00E473D5">
        <w:rPr>
          <w:lang w:val="en-AU"/>
        </w:rPr>
        <w:t xml:space="preserve">South Australia, Queensland and Tasmania are the only jurisdictions with the same retention periods for all goods despite value or size. </w:t>
      </w:r>
    </w:p>
    <w:p w14:paraId="666B7A93" w14:textId="1500071C" w:rsidR="00020592" w:rsidRPr="00E473D5" w:rsidRDefault="00020592" w:rsidP="00020592">
      <w:pPr>
        <w:rPr>
          <w:lang w:val="en-AU"/>
        </w:rPr>
      </w:pPr>
      <w:r w:rsidRPr="00E473D5">
        <w:rPr>
          <w:lang w:val="en-AU"/>
        </w:rPr>
        <w:t xml:space="preserve">Whilst Victoria requires 28 days after notice for all values, the period extends dependent on value if contact with the bailor cannot be made. If contact cannot be established then a retention period of 60, 90 and 180 days applies to the value categories (in order of increasing value). </w:t>
      </w:r>
    </w:p>
    <w:p w14:paraId="444A5782" w14:textId="49C57AC2" w:rsidR="00020592" w:rsidRPr="00E473D5" w:rsidRDefault="00020592" w:rsidP="00020592">
      <w:pPr>
        <w:rPr>
          <w:lang w:val="en-AU"/>
        </w:rPr>
      </w:pPr>
      <w:r w:rsidRPr="00E473D5">
        <w:rPr>
          <w:lang w:val="en-AU"/>
        </w:rPr>
        <w:t xml:space="preserve">Tasmania’s Act requires a retention period total of 7 months regardless of the value of the goods. After a notice of goods being ready for collection the </w:t>
      </w:r>
      <w:proofErr w:type="spellStart"/>
      <w:r w:rsidRPr="00E473D5">
        <w:rPr>
          <w:lang w:val="en-AU"/>
        </w:rPr>
        <w:t>bailee</w:t>
      </w:r>
      <w:proofErr w:type="spellEnd"/>
      <w:r w:rsidRPr="00E473D5">
        <w:rPr>
          <w:lang w:val="en-AU"/>
        </w:rPr>
        <w:t xml:space="preserve"> must hold the goods for 6 months, then a notice of intention to dispose can be sent (and published in the Gazette if a motor vehicle) and a holding period of a further </w:t>
      </w:r>
      <w:r w:rsidR="007274E1">
        <w:rPr>
          <w:lang w:val="en-AU"/>
        </w:rPr>
        <w:t>one</w:t>
      </w:r>
      <w:r w:rsidR="007274E1" w:rsidRPr="00E473D5">
        <w:rPr>
          <w:lang w:val="en-AU"/>
        </w:rPr>
        <w:t xml:space="preserve"> </w:t>
      </w:r>
      <w:r w:rsidRPr="00E473D5">
        <w:rPr>
          <w:lang w:val="en-AU"/>
        </w:rPr>
        <w:t xml:space="preserve">month applies before </w:t>
      </w:r>
      <w:r w:rsidR="00B031BE">
        <w:rPr>
          <w:lang w:val="en-AU"/>
        </w:rPr>
        <w:t>d</w:t>
      </w:r>
      <w:r w:rsidR="00B031BE" w:rsidRPr="00B031BE">
        <w:rPr>
          <w:lang w:val="en-AU"/>
        </w:rPr>
        <w:t>isposal</w:t>
      </w:r>
      <w:r w:rsidRPr="00E473D5">
        <w:rPr>
          <w:lang w:val="en-AU"/>
        </w:rPr>
        <w:t>.</w:t>
      </w:r>
    </w:p>
    <w:p w14:paraId="730BE499" w14:textId="22CA1632" w:rsidR="00020592" w:rsidRPr="00E473D5" w:rsidRDefault="00020592" w:rsidP="00020592">
      <w:pPr>
        <w:pStyle w:val="Heading2"/>
        <w:rPr>
          <w:lang w:val="en-AU"/>
        </w:rPr>
      </w:pPr>
      <w:bookmarkStart w:id="19" w:name="_Toc1132975"/>
      <w:r w:rsidRPr="00E473D5">
        <w:rPr>
          <w:lang w:val="en-AU"/>
        </w:rPr>
        <w:t xml:space="preserve">Method of </w:t>
      </w:r>
      <w:r w:rsidR="00B031BE" w:rsidRPr="00B031BE">
        <w:rPr>
          <w:lang w:val="en-AU"/>
        </w:rPr>
        <w:t>Disposal</w:t>
      </w:r>
      <w:bookmarkEnd w:id="19"/>
    </w:p>
    <w:p w14:paraId="34CDB5B1" w14:textId="7A779A15" w:rsidR="007274E1" w:rsidRDefault="00020592" w:rsidP="00020592">
      <w:pPr>
        <w:rPr>
          <w:lang w:val="en-AU"/>
        </w:rPr>
      </w:pPr>
      <w:r w:rsidRPr="00E473D5">
        <w:rPr>
          <w:lang w:val="en-AU"/>
        </w:rPr>
        <w:t xml:space="preserve">The method of </w:t>
      </w:r>
      <w:r w:rsidR="00B031BE" w:rsidRPr="00B031BE">
        <w:rPr>
          <w:lang w:val="en-AU"/>
        </w:rPr>
        <w:t>disposal</w:t>
      </w:r>
      <w:r w:rsidR="00B031BE">
        <w:rPr>
          <w:lang w:val="en-AU"/>
        </w:rPr>
        <w:t xml:space="preserve"> </w:t>
      </w:r>
      <w:r w:rsidRPr="00E473D5">
        <w:rPr>
          <w:lang w:val="en-AU"/>
        </w:rPr>
        <w:t xml:space="preserve">is the way in which a </w:t>
      </w:r>
      <w:proofErr w:type="spellStart"/>
      <w:r w:rsidRPr="00E473D5">
        <w:rPr>
          <w:lang w:val="en-AU"/>
        </w:rPr>
        <w:t>bailee</w:t>
      </w:r>
      <w:proofErr w:type="spellEnd"/>
      <w:r w:rsidRPr="00E473D5">
        <w:rPr>
          <w:lang w:val="en-AU"/>
        </w:rPr>
        <w:t xml:space="preserve"> is permitted to get rid of uncollected goods. As with forms of notice and retention period</w:t>
      </w:r>
      <w:r w:rsidR="003C7E0B">
        <w:rPr>
          <w:lang w:val="en-AU"/>
        </w:rPr>
        <w:t>s</w:t>
      </w:r>
      <w:r w:rsidRPr="00E473D5">
        <w:rPr>
          <w:lang w:val="en-AU"/>
        </w:rPr>
        <w:t xml:space="preserve">, methods of </w:t>
      </w:r>
      <w:r w:rsidR="00B031BE" w:rsidRPr="00B031BE">
        <w:rPr>
          <w:lang w:val="en-AU"/>
        </w:rPr>
        <w:t>disposal</w:t>
      </w:r>
      <w:r w:rsidR="00B031BE">
        <w:rPr>
          <w:lang w:val="en-AU"/>
        </w:rPr>
        <w:t xml:space="preserve"> </w:t>
      </w:r>
      <w:r w:rsidRPr="00E473D5">
        <w:rPr>
          <w:lang w:val="en-AU"/>
        </w:rPr>
        <w:t xml:space="preserve">vary based on the value category in most jurisdictions. </w:t>
      </w:r>
    </w:p>
    <w:p w14:paraId="2A4DC1A3" w14:textId="14484D64" w:rsidR="00020592" w:rsidRPr="00E473D5" w:rsidRDefault="00020592" w:rsidP="00020592">
      <w:pPr>
        <w:rPr>
          <w:lang w:val="en-AU"/>
        </w:rPr>
      </w:pPr>
      <w:r w:rsidRPr="00E473D5">
        <w:rPr>
          <w:lang w:val="en-AU"/>
        </w:rPr>
        <w:t xml:space="preserve">In all jurisdictions except Queensland and Tasmania, low, or no value goods can be disposed of in any manner after notice has been served and the retention period has passed. Goods in the higher value categories are often required to be sold at public auction and goods in the highest categories by court order. </w:t>
      </w:r>
    </w:p>
    <w:p w14:paraId="040A4E07" w14:textId="13D35766" w:rsidR="00020592" w:rsidRPr="00E473D5" w:rsidRDefault="00020592" w:rsidP="00020592">
      <w:pPr>
        <w:rPr>
          <w:lang w:val="en-AU"/>
        </w:rPr>
      </w:pPr>
      <w:r w:rsidRPr="00E473D5">
        <w:rPr>
          <w:lang w:val="en-AU"/>
        </w:rPr>
        <w:t>In Tasmania</w:t>
      </w:r>
      <w:r w:rsidR="007274E1">
        <w:rPr>
          <w:lang w:val="en-AU"/>
        </w:rPr>
        <w:t>,</w:t>
      </w:r>
      <w:r w:rsidRPr="00E473D5">
        <w:rPr>
          <w:lang w:val="en-AU"/>
        </w:rPr>
        <w:t xml:space="preserve"> the only method of </w:t>
      </w:r>
      <w:r w:rsidR="00B031BE" w:rsidRPr="00B031BE">
        <w:rPr>
          <w:lang w:val="en-AU"/>
        </w:rPr>
        <w:t>disposal</w:t>
      </w:r>
      <w:r w:rsidR="003C7E0B">
        <w:rPr>
          <w:lang w:val="en-AU"/>
        </w:rPr>
        <w:t>,</w:t>
      </w:r>
      <w:r w:rsidR="00B031BE">
        <w:rPr>
          <w:lang w:val="en-AU"/>
        </w:rPr>
        <w:t xml:space="preserve"> </w:t>
      </w:r>
      <w:r w:rsidRPr="00E473D5">
        <w:rPr>
          <w:lang w:val="en-AU"/>
        </w:rPr>
        <w:t xml:space="preserve">regardless of value, is </w:t>
      </w:r>
      <w:r w:rsidR="007274E1">
        <w:rPr>
          <w:lang w:val="en-AU"/>
        </w:rPr>
        <w:t xml:space="preserve">by </w:t>
      </w:r>
      <w:r w:rsidRPr="00E473D5">
        <w:rPr>
          <w:lang w:val="en-AU"/>
        </w:rPr>
        <w:t>public auction.</w:t>
      </w:r>
    </w:p>
    <w:p w14:paraId="1A6024C8" w14:textId="77777777" w:rsidR="00020592" w:rsidRPr="00E473D5" w:rsidRDefault="00020592" w:rsidP="00020592">
      <w:pPr>
        <w:pStyle w:val="Heading2"/>
        <w:rPr>
          <w:lang w:val="en-AU"/>
        </w:rPr>
      </w:pPr>
      <w:bookmarkStart w:id="20" w:name="_Toc1132976"/>
      <w:r w:rsidRPr="00E473D5">
        <w:rPr>
          <w:lang w:val="en-AU"/>
        </w:rPr>
        <w:lastRenderedPageBreak/>
        <w:t>Perishable Goods</w:t>
      </w:r>
      <w:bookmarkEnd w:id="20"/>
    </w:p>
    <w:p w14:paraId="756FD602" w14:textId="77777777" w:rsidR="00020592" w:rsidRPr="00E473D5" w:rsidRDefault="00020592" w:rsidP="00020592">
      <w:pPr>
        <w:rPr>
          <w:lang w:val="en-AU"/>
        </w:rPr>
      </w:pPr>
      <w:r w:rsidRPr="00E473D5">
        <w:rPr>
          <w:lang w:val="en-AU"/>
        </w:rPr>
        <w:t>Perishable goods have a limited handling and storage time until expiration. Currently the Northern Territory, the Australian Capital Territory, Victoria and New South Wales have provisions for perishable goods in their legislation. It is important that business owners and service providers are aware of their rights when dealing with perishable goods.</w:t>
      </w:r>
    </w:p>
    <w:p w14:paraId="5E720442" w14:textId="77777777" w:rsidR="00020592" w:rsidRPr="00E473D5" w:rsidRDefault="00020592" w:rsidP="00020592">
      <w:pPr>
        <w:pStyle w:val="Heading2"/>
        <w:rPr>
          <w:lang w:val="en-AU"/>
        </w:rPr>
      </w:pPr>
      <w:bookmarkStart w:id="21" w:name="_Toc1132977"/>
      <w:r w:rsidRPr="00E473D5">
        <w:rPr>
          <w:lang w:val="en-AU"/>
        </w:rPr>
        <w:t>Motor Vehicles</w:t>
      </w:r>
      <w:bookmarkEnd w:id="21"/>
    </w:p>
    <w:p w14:paraId="0947787A" w14:textId="77777777" w:rsidR="00AF1A9E" w:rsidRDefault="00020592" w:rsidP="007274E1">
      <w:pPr>
        <w:keepNext/>
        <w:rPr>
          <w:lang w:val="en-AU"/>
        </w:rPr>
      </w:pPr>
      <w:r w:rsidRPr="00E473D5">
        <w:rPr>
          <w:lang w:val="en-AU"/>
        </w:rPr>
        <w:t xml:space="preserve">The disposal of motor vehicles in each jurisdiction varies. </w:t>
      </w:r>
    </w:p>
    <w:p w14:paraId="571A49CB" w14:textId="5448D606" w:rsidR="00020592" w:rsidRPr="00E473D5" w:rsidRDefault="007274E1" w:rsidP="007274E1">
      <w:pPr>
        <w:keepNext/>
        <w:rPr>
          <w:lang w:val="en-AU"/>
        </w:rPr>
      </w:pPr>
      <w:r>
        <w:rPr>
          <w:lang w:val="en-AU"/>
        </w:rPr>
        <w:t xml:space="preserve">For example, </w:t>
      </w:r>
      <w:r w:rsidR="00020592" w:rsidRPr="00E473D5">
        <w:rPr>
          <w:lang w:val="en-AU"/>
        </w:rPr>
        <w:t xml:space="preserve">Victoria and Western Australia have two value categories, each treated differently in order to dispose of uncollected motor vehicles.  </w:t>
      </w:r>
    </w:p>
    <w:p w14:paraId="268DC737" w14:textId="1EC51B1C" w:rsidR="00020592" w:rsidRPr="00E473D5" w:rsidRDefault="00020592" w:rsidP="00020592">
      <w:pPr>
        <w:rPr>
          <w:lang w:val="en-AU"/>
        </w:rPr>
      </w:pPr>
      <w:r w:rsidRPr="00E473D5">
        <w:rPr>
          <w:lang w:val="en-AU"/>
        </w:rPr>
        <w:t xml:space="preserve">Motor vehicles are larger and often more expensive than other uncollected goods. Storage costs </w:t>
      </w:r>
      <w:r w:rsidR="002C5FB7" w:rsidRPr="00E473D5">
        <w:rPr>
          <w:lang w:val="en-AU"/>
        </w:rPr>
        <w:t xml:space="preserve">are significant </w:t>
      </w:r>
      <w:r w:rsidRPr="00E473D5">
        <w:rPr>
          <w:lang w:val="en-AU"/>
        </w:rPr>
        <w:t xml:space="preserve">for businesses that may not have the available space. Whilst the business may recoup these costs upon selling the vehicle, a vehicle in a deteriorated state may not cover the </w:t>
      </w:r>
      <w:r w:rsidR="006F212F">
        <w:rPr>
          <w:lang w:val="en-AU"/>
        </w:rPr>
        <w:t xml:space="preserve">total </w:t>
      </w:r>
      <w:r w:rsidRPr="00E473D5">
        <w:rPr>
          <w:lang w:val="en-AU"/>
        </w:rPr>
        <w:t>cost of storage, sale and work done on the car.</w:t>
      </w:r>
    </w:p>
    <w:p w14:paraId="282053FC" w14:textId="36818E32" w:rsidR="00020592" w:rsidRPr="00E473D5" w:rsidRDefault="00020592" w:rsidP="00020592">
      <w:pPr>
        <w:rPr>
          <w:lang w:val="en-AU"/>
        </w:rPr>
      </w:pPr>
      <w:r w:rsidRPr="00E473D5">
        <w:rPr>
          <w:lang w:val="en-AU"/>
        </w:rPr>
        <w:t>In Tasmania</w:t>
      </w:r>
      <w:r w:rsidR="006F212F">
        <w:rPr>
          <w:lang w:val="en-AU"/>
        </w:rPr>
        <w:t>,</w:t>
      </w:r>
      <w:r w:rsidRPr="00E473D5">
        <w:rPr>
          <w:lang w:val="en-AU"/>
        </w:rPr>
        <w:t xml:space="preserve"> a </w:t>
      </w:r>
      <w:proofErr w:type="spellStart"/>
      <w:r w:rsidRPr="00E473D5">
        <w:rPr>
          <w:lang w:val="en-AU"/>
        </w:rPr>
        <w:t>bailee</w:t>
      </w:r>
      <w:proofErr w:type="spellEnd"/>
      <w:r w:rsidRPr="00E473D5">
        <w:rPr>
          <w:lang w:val="en-AU"/>
        </w:rPr>
        <w:t xml:space="preserve"> must wait 7 months after sending out a notice of intention to dispose before being able to dispose of the vehicle. The notice must also be published in </w:t>
      </w:r>
      <w:r w:rsidR="006F212F">
        <w:rPr>
          <w:lang w:val="en-AU"/>
        </w:rPr>
        <w:t>t</w:t>
      </w:r>
      <w:r w:rsidR="006F212F" w:rsidRPr="00E473D5">
        <w:rPr>
          <w:lang w:val="en-AU"/>
        </w:rPr>
        <w:t xml:space="preserve">he </w:t>
      </w:r>
      <w:r w:rsidR="006F212F">
        <w:rPr>
          <w:lang w:val="en-AU"/>
        </w:rPr>
        <w:t xml:space="preserve">Tasmanian Government </w:t>
      </w:r>
      <w:r w:rsidRPr="00E473D5">
        <w:rPr>
          <w:lang w:val="en-AU"/>
        </w:rPr>
        <w:t xml:space="preserve">Gazette. </w:t>
      </w:r>
    </w:p>
    <w:p w14:paraId="232EE2E7" w14:textId="14C33337" w:rsidR="00792481" w:rsidRDefault="00020592" w:rsidP="00792481">
      <w:pPr>
        <w:rPr>
          <w:lang w:val="en-AU"/>
        </w:rPr>
      </w:pPr>
      <w:r w:rsidRPr="00E473D5">
        <w:rPr>
          <w:lang w:val="en-AU"/>
        </w:rPr>
        <w:t>Pickles Auctions</w:t>
      </w:r>
      <w:r w:rsidR="00792481">
        <w:rPr>
          <w:lang w:val="en-AU"/>
        </w:rPr>
        <w:t>,</w:t>
      </w:r>
      <w:r w:rsidRPr="00E473D5">
        <w:rPr>
          <w:lang w:val="en-AU"/>
        </w:rPr>
        <w:t xml:space="preserve"> a public auction house based in Hobart</w:t>
      </w:r>
      <w:r w:rsidR="00792481">
        <w:rPr>
          <w:lang w:val="en-AU"/>
        </w:rPr>
        <w:t>, is the primary auction platform for the disposal of motor vehicles in Tasmania.</w:t>
      </w:r>
    </w:p>
    <w:p w14:paraId="51CCA3D9" w14:textId="2F810BA2" w:rsidR="00020592" w:rsidRPr="000D630E" w:rsidRDefault="00020592" w:rsidP="00792481">
      <w:pPr>
        <w:rPr>
          <w:lang w:val="en-AU"/>
        </w:rPr>
      </w:pPr>
      <w:r w:rsidRPr="000D630E">
        <w:rPr>
          <w:lang w:val="en-AU"/>
        </w:rPr>
        <w:t xml:space="preserve">Most cars </w:t>
      </w:r>
      <w:r w:rsidR="00792481">
        <w:rPr>
          <w:lang w:val="en-AU"/>
        </w:rPr>
        <w:t xml:space="preserve">which </w:t>
      </w:r>
      <w:r w:rsidRPr="000D630E">
        <w:rPr>
          <w:lang w:val="en-AU"/>
        </w:rPr>
        <w:t xml:space="preserve">are left uncollected at the mechanic’s </w:t>
      </w:r>
      <w:r w:rsidR="00792481">
        <w:rPr>
          <w:lang w:val="en-AU"/>
        </w:rPr>
        <w:t xml:space="preserve">result from </w:t>
      </w:r>
      <w:r w:rsidRPr="000D630E">
        <w:rPr>
          <w:lang w:val="en-AU"/>
        </w:rPr>
        <w:t xml:space="preserve">the cost of repair </w:t>
      </w:r>
      <w:r w:rsidR="00792481">
        <w:rPr>
          <w:lang w:val="en-AU"/>
        </w:rPr>
        <w:t xml:space="preserve">being </w:t>
      </w:r>
      <w:r w:rsidRPr="000D630E">
        <w:rPr>
          <w:lang w:val="en-AU"/>
        </w:rPr>
        <w:t>greater than the value of the vehicle. When considering the cost of an uncollected vehicle it is important to consider:</w:t>
      </w:r>
    </w:p>
    <w:p w14:paraId="32B68E08" w14:textId="77777777" w:rsidR="00020592" w:rsidRPr="006167D4" w:rsidRDefault="00020592" w:rsidP="002C5FB7">
      <w:pPr>
        <w:pStyle w:val="ListParagraph"/>
      </w:pPr>
      <w:r w:rsidRPr="006167D4">
        <w:t>The labour and parts cost of the initial repair</w:t>
      </w:r>
    </w:p>
    <w:p w14:paraId="2073865A" w14:textId="77777777" w:rsidR="00020592" w:rsidRPr="006167D4" w:rsidRDefault="00020592" w:rsidP="002C5FB7">
      <w:pPr>
        <w:pStyle w:val="ListParagraph"/>
      </w:pPr>
      <w:r w:rsidRPr="006167D4">
        <w:t>The cost of storage and insurance</w:t>
      </w:r>
    </w:p>
    <w:p w14:paraId="0AF5DC14" w14:textId="77777777" w:rsidR="00020592" w:rsidRPr="006167D4" w:rsidRDefault="00020592" w:rsidP="002C5FB7">
      <w:pPr>
        <w:pStyle w:val="ListParagraph"/>
      </w:pPr>
      <w:r w:rsidRPr="006167D4">
        <w:t xml:space="preserve">The cost of transport to an auction house in addition to the fees sought by the auction house </w:t>
      </w:r>
    </w:p>
    <w:p w14:paraId="15089348" w14:textId="2585EC4B" w:rsidR="00020592" w:rsidRPr="006167D4" w:rsidRDefault="00020592" w:rsidP="002C5FB7">
      <w:pPr>
        <w:pStyle w:val="ListParagraph"/>
      </w:pPr>
      <w:r w:rsidRPr="006167D4">
        <w:t xml:space="preserve">Cost of publication in </w:t>
      </w:r>
      <w:r w:rsidR="00792481">
        <w:t>the Tasmanian Government</w:t>
      </w:r>
      <w:r w:rsidR="00792481" w:rsidRPr="006167D4">
        <w:t xml:space="preserve"> </w:t>
      </w:r>
      <w:r w:rsidRPr="006167D4">
        <w:t xml:space="preserve">Gazette </w:t>
      </w:r>
    </w:p>
    <w:p w14:paraId="0506E47C" w14:textId="19A36AD0" w:rsidR="00020592" w:rsidRDefault="00020592" w:rsidP="002C5FB7">
      <w:pPr>
        <w:pStyle w:val="ListParagraph"/>
      </w:pPr>
      <w:r w:rsidRPr="006167D4">
        <w:t>Time taken to follow the process</w:t>
      </w:r>
      <w:r w:rsidR="003C7E0B">
        <w:t>.</w:t>
      </w:r>
    </w:p>
    <w:p w14:paraId="5386FE26" w14:textId="77777777" w:rsidR="00796535" w:rsidRDefault="00796535" w:rsidP="00020592">
      <w:pPr>
        <w:rPr>
          <w:lang w:val="en-AU"/>
        </w:rPr>
      </w:pPr>
    </w:p>
    <w:p w14:paraId="05658FFC" w14:textId="5B36CF64" w:rsidR="00796535" w:rsidRDefault="00796535" w:rsidP="00796535">
      <w:pPr>
        <w:pStyle w:val="Heading1"/>
      </w:pPr>
      <w:bookmarkStart w:id="22" w:name="_Toc1132978"/>
      <w:r>
        <w:lastRenderedPageBreak/>
        <w:t>I</w:t>
      </w:r>
      <w:r w:rsidR="0041164C">
        <w:t>nsights</w:t>
      </w:r>
      <w:bookmarkEnd w:id="22"/>
    </w:p>
    <w:p w14:paraId="415AD64A" w14:textId="77A16326" w:rsidR="00020592" w:rsidRPr="000D630E" w:rsidRDefault="00792481" w:rsidP="00020592">
      <w:pPr>
        <w:rPr>
          <w:lang w:val="en-AU"/>
        </w:rPr>
      </w:pPr>
      <w:r>
        <w:rPr>
          <w:lang w:val="en-AU"/>
        </w:rPr>
        <w:t>It is considered that t</w:t>
      </w:r>
      <w:r w:rsidRPr="000D630E">
        <w:rPr>
          <w:lang w:val="en-AU"/>
        </w:rPr>
        <w:t xml:space="preserve">he </w:t>
      </w:r>
      <w:r w:rsidR="00020592" w:rsidRPr="000D630E">
        <w:rPr>
          <w:lang w:val="en-AU"/>
        </w:rPr>
        <w:t xml:space="preserve">current Act in Tasmania does not adequately </w:t>
      </w:r>
      <w:r w:rsidR="00CE4ACC">
        <w:rPr>
          <w:lang w:val="en-AU"/>
        </w:rPr>
        <w:t>provide for the disposal of uncollected goods in Tasmania fo</w:t>
      </w:r>
      <w:r w:rsidR="00CE4ACC" w:rsidRPr="000D630E">
        <w:rPr>
          <w:lang w:val="en-AU"/>
        </w:rPr>
        <w:t>r</w:t>
      </w:r>
      <w:r w:rsidR="00CE4ACC">
        <w:rPr>
          <w:lang w:val="en-AU"/>
        </w:rPr>
        <w:t xml:space="preserve"> either</w:t>
      </w:r>
      <w:r w:rsidR="00CE4ACC" w:rsidRPr="000D630E">
        <w:rPr>
          <w:lang w:val="en-AU"/>
        </w:rPr>
        <w:t xml:space="preserve"> </w:t>
      </w:r>
      <w:r w:rsidR="00020592" w:rsidRPr="000D630E">
        <w:rPr>
          <w:lang w:val="en-AU"/>
        </w:rPr>
        <w:t xml:space="preserve">consumers or businesses. The state of the current Act is preventing </w:t>
      </w:r>
      <w:proofErr w:type="spellStart"/>
      <w:r w:rsidR="00020592" w:rsidRPr="000D630E">
        <w:rPr>
          <w:lang w:val="en-AU"/>
        </w:rPr>
        <w:t>bailees</w:t>
      </w:r>
      <w:proofErr w:type="spellEnd"/>
      <w:r w:rsidR="00020592" w:rsidRPr="000D630E">
        <w:rPr>
          <w:lang w:val="en-AU"/>
        </w:rPr>
        <w:t xml:space="preserve"> from disposing of uncollected goods</w:t>
      </w:r>
      <w:r w:rsidR="00CE4ACC">
        <w:rPr>
          <w:lang w:val="en-AU"/>
        </w:rPr>
        <w:t>,</w:t>
      </w:r>
      <w:r w:rsidR="00020592" w:rsidRPr="000D630E">
        <w:rPr>
          <w:lang w:val="en-AU"/>
        </w:rPr>
        <w:t xml:space="preserve"> without entering into a lengthy and possibly expensive process. </w:t>
      </w:r>
    </w:p>
    <w:p w14:paraId="54DBA26F" w14:textId="74A56705" w:rsidR="00020592" w:rsidRPr="000D630E" w:rsidRDefault="00020592" w:rsidP="00020592">
      <w:pPr>
        <w:rPr>
          <w:lang w:val="en-AU"/>
        </w:rPr>
      </w:pPr>
      <w:r w:rsidRPr="000D630E">
        <w:rPr>
          <w:lang w:val="en-AU"/>
        </w:rPr>
        <w:t xml:space="preserve">The TACC, </w:t>
      </w:r>
      <w:r w:rsidR="00AF1A9E">
        <w:rPr>
          <w:lang w:val="en-AU"/>
        </w:rPr>
        <w:t xml:space="preserve">the </w:t>
      </w:r>
      <w:r w:rsidRPr="000D630E">
        <w:rPr>
          <w:lang w:val="en-AU"/>
        </w:rPr>
        <w:t xml:space="preserve">TCCI and </w:t>
      </w:r>
      <w:r w:rsidR="00AF1A9E">
        <w:rPr>
          <w:lang w:val="en-AU"/>
        </w:rPr>
        <w:t xml:space="preserve">the </w:t>
      </w:r>
      <w:r w:rsidRPr="000D630E">
        <w:rPr>
          <w:lang w:val="en-AU"/>
        </w:rPr>
        <w:t xml:space="preserve">Small Business Council contend the process prescribed by the Act is overly cumbersome and has not kept pace with </w:t>
      </w:r>
      <w:r w:rsidR="00DF2CB4" w:rsidRPr="00DF2CB4">
        <w:rPr>
          <w:lang w:val="en-AU"/>
        </w:rPr>
        <w:t>contemporary business practices or consumer preferences and behaviours</w:t>
      </w:r>
      <w:r w:rsidRPr="000D630E">
        <w:rPr>
          <w:lang w:val="en-AU"/>
        </w:rPr>
        <w:t>.</w:t>
      </w:r>
    </w:p>
    <w:p w14:paraId="27310397" w14:textId="77777777" w:rsidR="00AF1A9E" w:rsidRDefault="00020592" w:rsidP="00020592">
      <w:pPr>
        <w:rPr>
          <w:lang w:val="en-AU"/>
        </w:rPr>
      </w:pPr>
      <w:r w:rsidRPr="000D630E">
        <w:rPr>
          <w:lang w:val="en-AU"/>
        </w:rPr>
        <w:t xml:space="preserve">There is </w:t>
      </w:r>
      <w:r w:rsidR="00CE4ACC">
        <w:rPr>
          <w:lang w:val="en-AU"/>
        </w:rPr>
        <w:t xml:space="preserve">currently </w:t>
      </w:r>
      <w:r w:rsidRPr="000D630E">
        <w:rPr>
          <w:lang w:val="en-AU"/>
        </w:rPr>
        <w:t>no differentiation between very low or no value goods</w:t>
      </w:r>
      <w:r w:rsidR="00CE4ACC">
        <w:rPr>
          <w:lang w:val="en-AU"/>
        </w:rPr>
        <w:t>,</w:t>
      </w:r>
      <w:r w:rsidRPr="000D630E">
        <w:rPr>
          <w:lang w:val="en-AU"/>
        </w:rPr>
        <w:t xml:space="preserve"> and high value goods. It is </w:t>
      </w:r>
      <w:r w:rsidR="00CE4ACC">
        <w:rPr>
          <w:lang w:val="en-AU"/>
        </w:rPr>
        <w:t>inappropriate for</w:t>
      </w:r>
      <w:r w:rsidR="00CE4ACC" w:rsidRPr="000D630E">
        <w:rPr>
          <w:lang w:val="en-AU"/>
        </w:rPr>
        <w:t xml:space="preserve"> </w:t>
      </w:r>
      <w:r w:rsidRPr="000D630E">
        <w:rPr>
          <w:lang w:val="en-AU"/>
        </w:rPr>
        <w:t>a watch repairer to wait seven months to dispose of a $20 watch</w:t>
      </w:r>
      <w:r w:rsidR="00CE4ACC">
        <w:rPr>
          <w:lang w:val="en-AU"/>
        </w:rPr>
        <w:t>, in comparison to higher value items</w:t>
      </w:r>
      <w:r w:rsidRPr="000D630E">
        <w:rPr>
          <w:lang w:val="en-AU"/>
        </w:rPr>
        <w:t xml:space="preserve">. </w:t>
      </w:r>
    </w:p>
    <w:p w14:paraId="12218508" w14:textId="77777777" w:rsidR="009806EB" w:rsidRDefault="00CE4ACC" w:rsidP="00020592">
      <w:pPr>
        <w:rPr>
          <w:lang w:val="en-AU"/>
        </w:rPr>
      </w:pPr>
      <w:r>
        <w:rPr>
          <w:lang w:val="en-AU"/>
        </w:rPr>
        <w:t>However,</w:t>
      </w:r>
      <w:r w:rsidRPr="000D630E">
        <w:rPr>
          <w:lang w:val="en-AU"/>
        </w:rPr>
        <w:t xml:space="preserve"> </w:t>
      </w:r>
      <w:r w:rsidR="00020592" w:rsidRPr="000D630E">
        <w:rPr>
          <w:lang w:val="en-AU"/>
        </w:rPr>
        <w:t xml:space="preserve">seven months </w:t>
      </w:r>
      <w:r>
        <w:rPr>
          <w:lang w:val="en-AU"/>
        </w:rPr>
        <w:t>may no longer be appropriate</w:t>
      </w:r>
      <w:r w:rsidR="00020592" w:rsidRPr="000D630E">
        <w:rPr>
          <w:lang w:val="en-AU"/>
        </w:rPr>
        <w:t xml:space="preserve"> for a mechanic to store vehicles, especially if the workshop is located in a dense area with no spare storage space.</w:t>
      </w:r>
      <w:r w:rsidR="00AF1A9E">
        <w:rPr>
          <w:lang w:val="en-AU"/>
        </w:rPr>
        <w:t xml:space="preserve"> </w:t>
      </w:r>
      <w:r w:rsidR="00020592" w:rsidRPr="000D630E">
        <w:rPr>
          <w:lang w:val="en-AU"/>
        </w:rPr>
        <w:t xml:space="preserve"> For cars considered to be low value (below $1,000) the process and the costs </w:t>
      </w:r>
      <w:r w:rsidRPr="000D630E">
        <w:rPr>
          <w:lang w:val="en-AU"/>
        </w:rPr>
        <w:t>in</w:t>
      </w:r>
      <w:r>
        <w:rPr>
          <w:lang w:val="en-AU"/>
        </w:rPr>
        <w:t>curred in disposing of the goods,</w:t>
      </w:r>
      <w:r w:rsidRPr="000D630E">
        <w:rPr>
          <w:lang w:val="en-AU"/>
        </w:rPr>
        <w:t xml:space="preserve"> </w:t>
      </w:r>
      <w:r w:rsidR="00020592" w:rsidRPr="000D630E">
        <w:rPr>
          <w:lang w:val="en-AU"/>
        </w:rPr>
        <w:t>such as publication in the Gazette and the cost of the entry to the public auction</w:t>
      </w:r>
      <w:r>
        <w:rPr>
          <w:lang w:val="en-AU"/>
        </w:rPr>
        <w:t>,</w:t>
      </w:r>
      <w:r w:rsidR="00020592" w:rsidRPr="000D630E">
        <w:rPr>
          <w:lang w:val="en-AU"/>
        </w:rPr>
        <w:t xml:space="preserve"> is often higher than the amount returned on the sale. </w:t>
      </w:r>
    </w:p>
    <w:p w14:paraId="08F35618" w14:textId="2DC8F9BD" w:rsidR="00020592" w:rsidRPr="000D630E" w:rsidRDefault="00CE4ACC" w:rsidP="00020592">
      <w:pPr>
        <w:rPr>
          <w:lang w:val="en-AU"/>
        </w:rPr>
      </w:pPr>
      <w:r>
        <w:rPr>
          <w:lang w:val="en-AU"/>
        </w:rPr>
        <w:t>Furthermore, i</w:t>
      </w:r>
      <w:r w:rsidRPr="000D630E">
        <w:rPr>
          <w:lang w:val="en-AU"/>
        </w:rPr>
        <w:t xml:space="preserve">f </w:t>
      </w:r>
      <w:r w:rsidR="00020592" w:rsidRPr="000D630E">
        <w:rPr>
          <w:lang w:val="en-AU"/>
        </w:rPr>
        <w:t>the bailor cannot be contacted</w:t>
      </w:r>
      <w:r>
        <w:rPr>
          <w:lang w:val="en-AU"/>
        </w:rPr>
        <w:t>,</w:t>
      </w:r>
      <w:r w:rsidR="00020592" w:rsidRPr="000D630E">
        <w:rPr>
          <w:lang w:val="en-AU"/>
        </w:rPr>
        <w:t xml:space="preserve"> then the excess expenditure will likely never be recouped. </w:t>
      </w:r>
    </w:p>
    <w:p w14:paraId="28A9054D" w14:textId="77777777" w:rsidR="00AF1A9E" w:rsidRDefault="00020592" w:rsidP="00020592">
      <w:pPr>
        <w:rPr>
          <w:lang w:val="en-AU"/>
        </w:rPr>
      </w:pPr>
      <w:r w:rsidRPr="000D630E">
        <w:rPr>
          <w:lang w:val="en-AU"/>
        </w:rPr>
        <w:t xml:space="preserve">The </w:t>
      </w:r>
      <w:r w:rsidR="00170399">
        <w:rPr>
          <w:lang w:val="en-AU"/>
        </w:rPr>
        <w:t>requirement to notify</w:t>
      </w:r>
      <w:r w:rsidRPr="000D630E">
        <w:rPr>
          <w:lang w:val="en-AU"/>
        </w:rPr>
        <w:t xml:space="preserve"> the Commissioner of Police of</w:t>
      </w:r>
      <w:r w:rsidR="00170399">
        <w:rPr>
          <w:lang w:val="en-AU"/>
        </w:rPr>
        <w:t xml:space="preserve"> </w:t>
      </w:r>
      <w:r w:rsidRPr="000D630E">
        <w:rPr>
          <w:lang w:val="en-AU"/>
        </w:rPr>
        <w:t xml:space="preserve">goods being ready </w:t>
      </w:r>
      <w:r w:rsidR="00170399">
        <w:rPr>
          <w:lang w:val="en-AU"/>
        </w:rPr>
        <w:t>for</w:t>
      </w:r>
      <w:r w:rsidR="002A4B63" w:rsidRPr="000D630E">
        <w:rPr>
          <w:lang w:val="en-AU"/>
        </w:rPr>
        <w:t xml:space="preserve"> disposal is </w:t>
      </w:r>
      <w:r w:rsidR="00900C76">
        <w:rPr>
          <w:lang w:val="en-AU"/>
        </w:rPr>
        <w:t xml:space="preserve">also </w:t>
      </w:r>
      <w:r w:rsidR="002A4B63" w:rsidRPr="000D630E">
        <w:rPr>
          <w:lang w:val="en-AU"/>
        </w:rPr>
        <w:t xml:space="preserve">a burden on </w:t>
      </w:r>
      <w:r w:rsidR="00900C76">
        <w:rPr>
          <w:lang w:val="en-AU"/>
        </w:rPr>
        <w:t>businesses</w:t>
      </w:r>
      <w:r w:rsidRPr="000D630E">
        <w:rPr>
          <w:lang w:val="en-AU"/>
        </w:rPr>
        <w:t xml:space="preserve">. </w:t>
      </w:r>
    </w:p>
    <w:p w14:paraId="7A3A7B0E" w14:textId="431C1D9E" w:rsidR="00020592" w:rsidRPr="002C5FB7" w:rsidRDefault="00020592" w:rsidP="00020592">
      <w:pPr>
        <w:rPr>
          <w:lang w:val="en-AU"/>
        </w:rPr>
      </w:pPr>
      <w:r w:rsidRPr="000D630E">
        <w:rPr>
          <w:lang w:val="en-AU"/>
        </w:rPr>
        <w:t>If businesses are to be encouraged to dispose of all goods properly</w:t>
      </w:r>
      <w:r w:rsidR="00900C76">
        <w:rPr>
          <w:lang w:val="en-AU"/>
        </w:rPr>
        <w:t>,</w:t>
      </w:r>
      <w:r w:rsidRPr="000D630E">
        <w:rPr>
          <w:lang w:val="en-AU"/>
        </w:rPr>
        <w:t xml:space="preserve"> it must be </w:t>
      </w:r>
      <w:r w:rsidR="00900C76">
        <w:rPr>
          <w:lang w:val="en-AU"/>
        </w:rPr>
        <w:t xml:space="preserve">an </w:t>
      </w:r>
      <w:r w:rsidRPr="000D630E">
        <w:rPr>
          <w:lang w:val="en-AU"/>
        </w:rPr>
        <w:t>efficient and low cost</w:t>
      </w:r>
      <w:r w:rsidR="00900C76">
        <w:rPr>
          <w:lang w:val="en-AU"/>
        </w:rPr>
        <w:t xml:space="preserve"> process</w:t>
      </w:r>
      <w:r w:rsidRPr="000D630E">
        <w:rPr>
          <w:lang w:val="en-AU"/>
        </w:rPr>
        <w:t>. In most other states and territories</w:t>
      </w:r>
      <w:r w:rsidR="00900C76">
        <w:rPr>
          <w:lang w:val="en-AU"/>
        </w:rPr>
        <w:t>,</w:t>
      </w:r>
      <w:r w:rsidRPr="000D630E">
        <w:rPr>
          <w:lang w:val="en-AU"/>
        </w:rPr>
        <w:t xml:space="preserve"> notification to the Commissioner of Police is </w:t>
      </w:r>
      <w:r w:rsidR="002C5FB7">
        <w:rPr>
          <w:lang w:val="en-AU"/>
        </w:rPr>
        <w:t>restrict</w:t>
      </w:r>
      <w:r w:rsidR="002C5FB7" w:rsidRPr="002C5FB7">
        <w:rPr>
          <w:lang w:val="en-AU"/>
        </w:rPr>
        <w:t xml:space="preserve">ed </w:t>
      </w:r>
      <w:r w:rsidRPr="002C5FB7">
        <w:rPr>
          <w:lang w:val="en-AU"/>
        </w:rPr>
        <w:t>to higher valued items</w:t>
      </w:r>
      <w:r w:rsidR="00AD1772" w:rsidRPr="002C5FB7">
        <w:rPr>
          <w:lang w:val="en-AU"/>
        </w:rPr>
        <w:t xml:space="preserve"> </w:t>
      </w:r>
      <w:r w:rsidR="00900C76">
        <w:rPr>
          <w:lang w:val="en-AU"/>
        </w:rPr>
        <w:t xml:space="preserve">only, </w:t>
      </w:r>
      <w:r w:rsidR="00AD1772" w:rsidRPr="002C5FB7">
        <w:rPr>
          <w:lang w:val="en-AU"/>
        </w:rPr>
        <w:t xml:space="preserve">or </w:t>
      </w:r>
      <w:r w:rsidR="00900C76">
        <w:rPr>
          <w:lang w:val="en-AU"/>
        </w:rPr>
        <w:t xml:space="preserve">has been </w:t>
      </w:r>
      <w:r w:rsidR="00AD1772" w:rsidRPr="002C5FB7">
        <w:rPr>
          <w:lang w:val="en-AU"/>
        </w:rPr>
        <w:t>removed completely</w:t>
      </w:r>
      <w:r w:rsidRPr="002C5FB7">
        <w:rPr>
          <w:lang w:val="en-AU"/>
        </w:rPr>
        <w:t xml:space="preserve">. </w:t>
      </w:r>
    </w:p>
    <w:p w14:paraId="4103D7DA" w14:textId="77777777" w:rsidR="00AF1A9E" w:rsidRDefault="00020592" w:rsidP="00020592">
      <w:pPr>
        <w:rPr>
          <w:lang w:val="en-AU"/>
        </w:rPr>
      </w:pPr>
      <w:r w:rsidRPr="002C5FB7">
        <w:rPr>
          <w:lang w:val="en-AU"/>
        </w:rPr>
        <w:t xml:space="preserve">Submitting goods to public auction is both costly and time consuming. </w:t>
      </w:r>
    </w:p>
    <w:p w14:paraId="308FCBF6" w14:textId="42C95662" w:rsidR="00020592" w:rsidRPr="002C5FB7" w:rsidRDefault="00C221DC" w:rsidP="00020592">
      <w:pPr>
        <w:rPr>
          <w:lang w:val="en-AU"/>
        </w:rPr>
      </w:pPr>
      <w:r>
        <w:rPr>
          <w:lang w:val="en-AU"/>
        </w:rPr>
        <w:t>It should not be a requirement that g</w:t>
      </w:r>
      <w:r w:rsidR="00020592" w:rsidRPr="002C5FB7">
        <w:rPr>
          <w:lang w:val="en-AU"/>
        </w:rPr>
        <w:t>oods of low to no value be sold at public auction</w:t>
      </w:r>
      <w:r>
        <w:rPr>
          <w:lang w:val="en-AU"/>
        </w:rPr>
        <w:t>,</w:t>
      </w:r>
      <w:r w:rsidR="00020592" w:rsidRPr="002C5FB7">
        <w:rPr>
          <w:lang w:val="en-AU"/>
        </w:rPr>
        <w:t xml:space="preserve"> as this places a large financial burden on the business. </w:t>
      </w:r>
      <w:r>
        <w:rPr>
          <w:lang w:val="en-AU"/>
        </w:rPr>
        <w:t>Anecdotal evidence suggests that</w:t>
      </w:r>
      <w:r w:rsidRPr="002C5FB7">
        <w:rPr>
          <w:lang w:val="en-AU"/>
        </w:rPr>
        <w:t xml:space="preserve"> </w:t>
      </w:r>
      <w:r w:rsidR="00020592" w:rsidRPr="002C5FB7">
        <w:rPr>
          <w:lang w:val="en-AU"/>
        </w:rPr>
        <w:t xml:space="preserve">businesses do not follow </w:t>
      </w:r>
      <w:r>
        <w:rPr>
          <w:lang w:val="en-AU"/>
        </w:rPr>
        <w:t>the</w:t>
      </w:r>
      <w:r w:rsidRPr="002C5FB7">
        <w:rPr>
          <w:lang w:val="en-AU"/>
        </w:rPr>
        <w:t xml:space="preserve"> </w:t>
      </w:r>
      <w:r w:rsidR="00020592" w:rsidRPr="002C5FB7">
        <w:rPr>
          <w:lang w:val="en-AU"/>
        </w:rPr>
        <w:t>process and are putting themselves at legal risk by disposing of goods how</w:t>
      </w:r>
      <w:r w:rsidR="009754DF">
        <w:rPr>
          <w:lang w:val="en-AU"/>
        </w:rPr>
        <w:t>ever</w:t>
      </w:r>
      <w:r w:rsidR="00020592" w:rsidRPr="002C5FB7">
        <w:rPr>
          <w:lang w:val="en-AU"/>
        </w:rPr>
        <w:t xml:space="preserve"> they see fit</w:t>
      </w:r>
      <w:r w:rsidR="009754DF">
        <w:rPr>
          <w:lang w:val="en-AU"/>
        </w:rPr>
        <w:t>, instead of meeting the legislative requirements</w:t>
      </w:r>
      <w:r w:rsidR="00020592" w:rsidRPr="002C5FB7">
        <w:rPr>
          <w:lang w:val="en-AU"/>
        </w:rPr>
        <w:t xml:space="preserve">. </w:t>
      </w:r>
    </w:p>
    <w:p w14:paraId="30815EF4" w14:textId="77777777" w:rsidR="00AF1A9E" w:rsidRDefault="00020592" w:rsidP="00020592">
      <w:pPr>
        <w:rPr>
          <w:lang w:val="en-AU"/>
        </w:rPr>
      </w:pPr>
      <w:r w:rsidRPr="002C5FB7">
        <w:rPr>
          <w:lang w:val="en-AU"/>
        </w:rPr>
        <w:t xml:space="preserve">Whilst perishable goods account for a </w:t>
      </w:r>
      <w:r w:rsidR="009754DF">
        <w:rPr>
          <w:lang w:val="en-AU"/>
        </w:rPr>
        <w:t>small proportion of</w:t>
      </w:r>
      <w:r w:rsidR="009754DF" w:rsidRPr="002C5FB7">
        <w:rPr>
          <w:lang w:val="en-AU"/>
        </w:rPr>
        <w:t xml:space="preserve"> </w:t>
      </w:r>
      <w:r w:rsidRPr="002C5FB7">
        <w:rPr>
          <w:lang w:val="en-AU"/>
        </w:rPr>
        <w:t>uncollected goods</w:t>
      </w:r>
      <w:r w:rsidR="00B47562">
        <w:rPr>
          <w:lang w:val="en-AU"/>
        </w:rPr>
        <w:t>,</w:t>
      </w:r>
      <w:r w:rsidRPr="002C5FB7">
        <w:rPr>
          <w:lang w:val="en-AU"/>
        </w:rPr>
        <w:t xml:space="preserve"> inclusion of them in </w:t>
      </w:r>
      <w:r w:rsidR="00B47562">
        <w:rPr>
          <w:lang w:val="en-AU"/>
        </w:rPr>
        <w:t>legislation</w:t>
      </w:r>
      <w:r w:rsidRPr="002C5FB7">
        <w:rPr>
          <w:lang w:val="en-AU"/>
        </w:rPr>
        <w:t xml:space="preserve"> is important to protect the rights of the consumer and the business. </w:t>
      </w:r>
    </w:p>
    <w:p w14:paraId="17906A38" w14:textId="49FAAB10" w:rsidR="00020592" w:rsidRPr="002C5FB7" w:rsidRDefault="00020592" w:rsidP="00020592">
      <w:pPr>
        <w:rPr>
          <w:lang w:val="en-AU"/>
        </w:rPr>
      </w:pPr>
      <w:r w:rsidRPr="002C5FB7">
        <w:rPr>
          <w:lang w:val="en-AU"/>
        </w:rPr>
        <w:t>The time of required retention for uncollected goods is typically too long for perishable goods and therefor</w:t>
      </w:r>
      <w:r w:rsidR="00B47562">
        <w:rPr>
          <w:lang w:val="en-AU"/>
        </w:rPr>
        <w:t>e</w:t>
      </w:r>
      <w:r w:rsidRPr="002C5FB7">
        <w:rPr>
          <w:lang w:val="en-AU"/>
        </w:rPr>
        <w:t xml:space="preserve"> a separate process for dealing with those goods should be introduced. Consumers must also be given fair notice that their goods are ready for collection.</w:t>
      </w:r>
    </w:p>
    <w:p w14:paraId="56C024E9" w14:textId="77777777" w:rsidR="009806EB" w:rsidRDefault="00020592" w:rsidP="00020592">
      <w:pPr>
        <w:rPr>
          <w:lang w:val="en-AU"/>
        </w:rPr>
      </w:pPr>
      <w:r w:rsidRPr="002C5FB7">
        <w:rPr>
          <w:lang w:val="en-AU"/>
        </w:rPr>
        <w:t>Motor vehicles should be treated differently to other uncollected goods</w:t>
      </w:r>
      <w:r w:rsidR="00D909E4">
        <w:rPr>
          <w:lang w:val="en-AU"/>
        </w:rPr>
        <w:t xml:space="preserve"> as t</w:t>
      </w:r>
      <w:r w:rsidRPr="002C5FB7">
        <w:rPr>
          <w:lang w:val="en-AU"/>
        </w:rPr>
        <w:t xml:space="preserve">hey often involve higher costs and pose a bigger expense to the business. A retention period of seven months is </w:t>
      </w:r>
      <w:r w:rsidR="00D909E4">
        <w:rPr>
          <w:lang w:val="en-AU"/>
        </w:rPr>
        <w:t xml:space="preserve">considered </w:t>
      </w:r>
      <w:r w:rsidRPr="002C5FB7">
        <w:rPr>
          <w:lang w:val="en-AU"/>
        </w:rPr>
        <w:t>too long for businesses that do not have storage space</w:t>
      </w:r>
      <w:r w:rsidR="00D909E4">
        <w:rPr>
          <w:lang w:val="en-AU"/>
        </w:rPr>
        <w:t>.</w:t>
      </w:r>
      <w:r w:rsidRPr="002C5FB7">
        <w:rPr>
          <w:lang w:val="en-AU"/>
        </w:rPr>
        <w:t xml:space="preserve"> </w:t>
      </w:r>
    </w:p>
    <w:p w14:paraId="1A47B59F" w14:textId="529FC7C8" w:rsidR="00020592" w:rsidRPr="002C5FB7" w:rsidRDefault="00D909E4" w:rsidP="00020592">
      <w:pPr>
        <w:rPr>
          <w:lang w:val="en-AU"/>
        </w:rPr>
      </w:pPr>
      <w:r>
        <w:rPr>
          <w:lang w:val="en-AU"/>
        </w:rPr>
        <w:t>For</w:t>
      </w:r>
      <w:r w:rsidR="00020592" w:rsidRPr="002C5FB7">
        <w:rPr>
          <w:lang w:val="en-AU"/>
        </w:rPr>
        <w:t xml:space="preserve"> low value vehicles</w:t>
      </w:r>
      <w:r>
        <w:rPr>
          <w:lang w:val="en-AU"/>
        </w:rPr>
        <w:t>,</w:t>
      </w:r>
      <w:r w:rsidR="00020592" w:rsidRPr="002C5FB7">
        <w:rPr>
          <w:lang w:val="en-AU"/>
        </w:rPr>
        <w:t xml:space="preserve"> </w:t>
      </w:r>
      <w:r>
        <w:rPr>
          <w:lang w:val="en-AU"/>
        </w:rPr>
        <w:t xml:space="preserve">disposal </w:t>
      </w:r>
      <w:r w:rsidR="00020592" w:rsidRPr="002C5FB7">
        <w:rPr>
          <w:lang w:val="en-AU"/>
        </w:rPr>
        <w:t>costs</w:t>
      </w:r>
      <w:r w:rsidR="00DC7B9A" w:rsidRPr="002C5FB7">
        <w:rPr>
          <w:lang w:val="en-AU"/>
        </w:rPr>
        <w:t xml:space="preserve"> are high and</w:t>
      </w:r>
      <w:r w:rsidR="00020592" w:rsidRPr="002C5FB7">
        <w:rPr>
          <w:lang w:val="en-AU"/>
        </w:rPr>
        <w:t xml:space="preserve"> often not </w:t>
      </w:r>
      <w:r>
        <w:rPr>
          <w:lang w:val="en-AU"/>
        </w:rPr>
        <w:t xml:space="preserve">able to be </w:t>
      </w:r>
      <w:r w:rsidR="00020592" w:rsidRPr="002C5FB7">
        <w:rPr>
          <w:lang w:val="en-AU"/>
        </w:rPr>
        <w:t xml:space="preserve">recouped. </w:t>
      </w:r>
    </w:p>
    <w:p w14:paraId="6A84C4C4" w14:textId="77777777" w:rsidR="009806EB" w:rsidRDefault="004D17F3" w:rsidP="00020592">
      <w:pPr>
        <w:rPr>
          <w:lang w:val="en-AU"/>
        </w:rPr>
      </w:pPr>
      <w:r>
        <w:rPr>
          <w:lang w:val="en-AU"/>
        </w:rPr>
        <w:t>In addition, t</w:t>
      </w:r>
      <w:r w:rsidRPr="002C5FB7">
        <w:rPr>
          <w:lang w:val="en-AU"/>
        </w:rPr>
        <w:t xml:space="preserve">he </w:t>
      </w:r>
      <w:r w:rsidR="00020592" w:rsidRPr="002C5FB7">
        <w:rPr>
          <w:lang w:val="en-AU"/>
        </w:rPr>
        <w:t>use of a fact sheet</w:t>
      </w:r>
      <w:r>
        <w:rPr>
          <w:lang w:val="en-AU"/>
        </w:rPr>
        <w:t xml:space="preserve"> on the legislation governing disposal of uncollected goods</w:t>
      </w:r>
      <w:r w:rsidR="00020592" w:rsidRPr="002C5FB7">
        <w:rPr>
          <w:lang w:val="en-AU"/>
        </w:rPr>
        <w:t xml:space="preserve"> in the Australian Capital Territory and the Northern Territory aids both businesses and consumers in understanding their rights and responsibilities. </w:t>
      </w:r>
    </w:p>
    <w:p w14:paraId="4C0F4EFB" w14:textId="2759365A" w:rsidR="00020592" w:rsidRPr="002C5FB7" w:rsidRDefault="009806EB" w:rsidP="00020592">
      <w:pPr>
        <w:rPr>
          <w:lang w:val="en-AU"/>
        </w:rPr>
      </w:pPr>
      <w:r>
        <w:rPr>
          <w:lang w:val="en-AU"/>
        </w:rPr>
        <w:t>Due to</w:t>
      </w:r>
      <w:r w:rsidR="00020592" w:rsidRPr="002C5FB7">
        <w:rPr>
          <w:lang w:val="en-AU"/>
        </w:rPr>
        <w:t xml:space="preserve"> the complexity and the variation between jurisdictions, a fact sheet could </w:t>
      </w:r>
      <w:r w:rsidR="004D17F3">
        <w:rPr>
          <w:lang w:val="en-AU"/>
        </w:rPr>
        <w:t>significantly</w:t>
      </w:r>
      <w:r w:rsidR="004D17F3" w:rsidRPr="002C5FB7">
        <w:rPr>
          <w:lang w:val="en-AU"/>
        </w:rPr>
        <w:t xml:space="preserve"> </w:t>
      </w:r>
      <w:r w:rsidR="00020592" w:rsidRPr="002C5FB7">
        <w:rPr>
          <w:lang w:val="en-AU"/>
        </w:rPr>
        <w:t>aid in education and result in less confusion surrounding uncollected goods. Graphics and charts could be used to improve readability for people with low literacy levels and ensure a wide reading audience is reached.</w:t>
      </w:r>
    </w:p>
    <w:p w14:paraId="0255D232" w14:textId="28F2198C" w:rsidR="00020592" w:rsidRPr="002C5FB7" w:rsidRDefault="00020592" w:rsidP="007225CB">
      <w:pPr>
        <w:pStyle w:val="Heading1"/>
      </w:pPr>
      <w:bookmarkStart w:id="23" w:name="_Toc1132979"/>
      <w:r w:rsidRPr="002C5FB7">
        <w:lastRenderedPageBreak/>
        <w:t>Strategy</w:t>
      </w:r>
      <w:bookmarkEnd w:id="23"/>
    </w:p>
    <w:p w14:paraId="028358EF" w14:textId="3AA970D5" w:rsidR="00D93CBD" w:rsidRDefault="00796535" w:rsidP="00020592">
      <w:pPr>
        <w:rPr>
          <w:lang w:val="en-AU"/>
        </w:rPr>
      </w:pPr>
      <w:r>
        <w:rPr>
          <w:lang w:val="en-AU"/>
        </w:rPr>
        <w:t xml:space="preserve">As identified in the ‘Insights’ above, it is considered that the </w:t>
      </w:r>
      <w:r w:rsidRPr="00796535">
        <w:rPr>
          <w:i/>
          <w:lang w:val="en-AU"/>
        </w:rPr>
        <w:t>Disposal of Uncollected Goods Act</w:t>
      </w:r>
      <w:r>
        <w:rPr>
          <w:lang w:val="en-AU"/>
        </w:rPr>
        <w:t xml:space="preserve"> </w:t>
      </w:r>
      <w:r w:rsidRPr="000D630E">
        <w:rPr>
          <w:i/>
          <w:lang w:val="en-AU"/>
        </w:rPr>
        <w:t>1968</w:t>
      </w:r>
      <w:r>
        <w:rPr>
          <w:i/>
          <w:lang w:val="en-AU"/>
        </w:rPr>
        <w:t xml:space="preserve"> </w:t>
      </w:r>
      <w:r>
        <w:rPr>
          <w:lang w:val="en-AU"/>
        </w:rPr>
        <w:t xml:space="preserve">no longer adequately provides for </w:t>
      </w:r>
      <w:r w:rsidR="004549E2">
        <w:rPr>
          <w:lang w:val="en-AU"/>
        </w:rPr>
        <w:t xml:space="preserve">the disposal of uncollected goods for Tasmanian </w:t>
      </w:r>
      <w:r>
        <w:rPr>
          <w:lang w:val="en-AU"/>
        </w:rPr>
        <w:t>consumers o</w:t>
      </w:r>
      <w:r w:rsidR="00D93CBD">
        <w:rPr>
          <w:lang w:val="en-AU"/>
        </w:rPr>
        <w:t>r businesses.</w:t>
      </w:r>
    </w:p>
    <w:p w14:paraId="316D87EE" w14:textId="296AD53D" w:rsidR="00020592" w:rsidRPr="002C5FB7" w:rsidRDefault="00796535" w:rsidP="00020592">
      <w:pPr>
        <w:rPr>
          <w:lang w:val="en-AU"/>
        </w:rPr>
      </w:pPr>
      <w:r>
        <w:rPr>
          <w:lang w:val="en-AU"/>
        </w:rPr>
        <w:t>Due to the complexity of factors to consider, a va</w:t>
      </w:r>
      <w:r w:rsidR="00020592" w:rsidRPr="002C5FB7">
        <w:rPr>
          <w:lang w:val="en-AU"/>
        </w:rPr>
        <w:t xml:space="preserve">riety of policy </w:t>
      </w:r>
      <w:r w:rsidR="00B70537">
        <w:rPr>
          <w:lang w:val="en-AU"/>
        </w:rPr>
        <w:t>options</w:t>
      </w:r>
      <w:r w:rsidR="00020592" w:rsidRPr="002C5FB7">
        <w:rPr>
          <w:lang w:val="en-AU"/>
        </w:rPr>
        <w:t xml:space="preserve"> are </w:t>
      </w:r>
      <w:r>
        <w:rPr>
          <w:lang w:val="en-AU"/>
        </w:rPr>
        <w:t>proposed</w:t>
      </w:r>
      <w:r w:rsidR="00020592" w:rsidRPr="002C5FB7">
        <w:rPr>
          <w:lang w:val="en-AU"/>
        </w:rPr>
        <w:t xml:space="preserve"> </w:t>
      </w:r>
      <w:r>
        <w:rPr>
          <w:lang w:val="en-AU"/>
        </w:rPr>
        <w:t xml:space="preserve">to address the identified issues: </w:t>
      </w:r>
    </w:p>
    <w:p w14:paraId="52047F0B" w14:textId="77777777" w:rsidR="00020592" w:rsidRPr="006167D4" w:rsidRDefault="00020592" w:rsidP="00130CE3">
      <w:pPr>
        <w:pStyle w:val="ListParagraph"/>
      </w:pPr>
      <w:r w:rsidRPr="006167D4">
        <w:t>Option 1 – Maintain status quo</w:t>
      </w:r>
    </w:p>
    <w:p w14:paraId="118AA1B7" w14:textId="77777777" w:rsidR="00020592" w:rsidRPr="006167D4" w:rsidRDefault="002F0032" w:rsidP="00130CE3">
      <w:pPr>
        <w:pStyle w:val="ListParagraph"/>
      </w:pPr>
      <w:r w:rsidRPr="006167D4">
        <w:t>Option 2</w:t>
      </w:r>
      <w:r w:rsidR="00020592" w:rsidRPr="006167D4">
        <w:t xml:space="preserve"> – Create value categories</w:t>
      </w:r>
    </w:p>
    <w:p w14:paraId="0E6A9F5B" w14:textId="77777777" w:rsidR="00020592" w:rsidRPr="006167D4" w:rsidRDefault="002F0032" w:rsidP="00130CE3">
      <w:pPr>
        <w:pStyle w:val="ListParagraph"/>
      </w:pPr>
      <w:r w:rsidRPr="006167D4">
        <w:t>Option 3</w:t>
      </w:r>
      <w:r w:rsidR="00020592" w:rsidRPr="006167D4">
        <w:t xml:space="preserve"> – Create value categories with additional categories for motor vehicles</w:t>
      </w:r>
    </w:p>
    <w:p w14:paraId="2B70308A" w14:textId="3503F654" w:rsidR="00020592" w:rsidRDefault="002F0032" w:rsidP="00130CE3">
      <w:pPr>
        <w:pStyle w:val="ListParagraph"/>
      </w:pPr>
      <w:r w:rsidRPr="006167D4">
        <w:t>Option 4</w:t>
      </w:r>
      <w:r w:rsidR="00020592" w:rsidRPr="006167D4">
        <w:t xml:space="preserve"> – Create value categories with additional categories for motor vehicles and perishable goods</w:t>
      </w:r>
      <w:r w:rsidR="004549E2">
        <w:t>.</w:t>
      </w:r>
    </w:p>
    <w:p w14:paraId="171E8144" w14:textId="77777777" w:rsidR="00796535" w:rsidRPr="002C5FB7" w:rsidRDefault="00796535" w:rsidP="00796535"/>
    <w:p w14:paraId="0A02E6BE" w14:textId="77777777" w:rsidR="00020592" w:rsidRPr="00130CE3" w:rsidRDefault="00020592" w:rsidP="00020592">
      <w:pPr>
        <w:pStyle w:val="Heading2"/>
        <w:rPr>
          <w:lang w:val="en-AU"/>
        </w:rPr>
      </w:pPr>
      <w:bookmarkStart w:id="24" w:name="_Toc1132980"/>
      <w:r w:rsidRPr="00130CE3">
        <w:rPr>
          <w:lang w:val="en-AU"/>
        </w:rPr>
        <w:t>Option 1: Status quo</w:t>
      </w:r>
      <w:bookmarkEnd w:id="24"/>
    </w:p>
    <w:p w14:paraId="6EBB6048" w14:textId="77777777" w:rsidR="00796535" w:rsidRDefault="00020592" w:rsidP="00020592">
      <w:pPr>
        <w:rPr>
          <w:lang w:val="en-AU"/>
        </w:rPr>
      </w:pPr>
      <w:r w:rsidRPr="00130CE3">
        <w:rPr>
          <w:lang w:val="en-AU"/>
        </w:rPr>
        <w:t xml:space="preserve">If the status quo is maintained, </w:t>
      </w:r>
      <w:r w:rsidR="007225CB">
        <w:rPr>
          <w:lang w:val="en-AU"/>
        </w:rPr>
        <w:t xml:space="preserve">the </w:t>
      </w:r>
      <w:r w:rsidRPr="00130CE3">
        <w:rPr>
          <w:lang w:val="en-AU"/>
        </w:rPr>
        <w:t xml:space="preserve">current law would continue to operate. </w:t>
      </w:r>
    </w:p>
    <w:p w14:paraId="2C5ABAE0" w14:textId="5C09602C" w:rsidR="00020592" w:rsidRPr="00130CE3" w:rsidRDefault="00020592" w:rsidP="00020592">
      <w:pPr>
        <w:rPr>
          <w:lang w:val="en-AU"/>
        </w:rPr>
      </w:pPr>
      <w:proofErr w:type="spellStart"/>
      <w:r w:rsidRPr="00130CE3">
        <w:rPr>
          <w:lang w:val="en-AU"/>
        </w:rPr>
        <w:t>Bailees</w:t>
      </w:r>
      <w:proofErr w:type="spellEnd"/>
      <w:r w:rsidRPr="00130CE3">
        <w:rPr>
          <w:lang w:val="en-AU"/>
        </w:rPr>
        <w:t xml:space="preserve"> would have to follow the process of notices</w:t>
      </w:r>
      <w:r w:rsidR="007225CB">
        <w:rPr>
          <w:lang w:val="en-AU"/>
        </w:rPr>
        <w:t>,</w:t>
      </w:r>
      <w:r w:rsidRPr="00130CE3">
        <w:rPr>
          <w:lang w:val="en-AU"/>
        </w:rPr>
        <w:t xml:space="preserve"> and retain goods for a minimum of seven months for item</w:t>
      </w:r>
      <w:r w:rsidR="007225CB">
        <w:rPr>
          <w:lang w:val="en-AU"/>
        </w:rPr>
        <w:t>s of any value</w:t>
      </w:r>
      <w:r w:rsidRPr="00130CE3">
        <w:rPr>
          <w:lang w:val="en-AU"/>
        </w:rPr>
        <w:t xml:space="preserve">. </w:t>
      </w:r>
    </w:p>
    <w:p w14:paraId="2FBFF187" w14:textId="77777777" w:rsidR="00020592" w:rsidRPr="000D630E" w:rsidRDefault="00020592" w:rsidP="00020592">
      <w:pPr>
        <w:rPr>
          <w:b/>
          <w:lang w:val="en-AU"/>
        </w:rPr>
      </w:pPr>
      <w:r w:rsidRPr="000D630E">
        <w:rPr>
          <w:b/>
          <w:lang w:val="en-AU"/>
        </w:rPr>
        <w:t>Impact Analysis</w:t>
      </w:r>
    </w:p>
    <w:tbl>
      <w:tblPr>
        <w:tblStyle w:val="TableGrid"/>
        <w:tblW w:w="9200" w:type="dxa"/>
        <w:tblLook w:val="04A0" w:firstRow="1" w:lastRow="0" w:firstColumn="1" w:lastColumn="0" w:noHBand="0" w:noVBand="1"/>
      </w:tblPr>
      <w:tblGrid>
        <w:gridCol w:w="4600"/>
        <w:gridCol w:w="4600"/>
      </w:tblGrid>
      <w:tr w:rsidR="00020592" w:rsidRPr="00130CE3" w14:paraId="0894461F" w14:textId="77777777" w:rsidTr="002A4B63">
        <w:trPr>
          <w:trHeight w:val="377"/>
        </w:trPr>
        <w:tc>
          <w:tcPr>
            <w:tcW w:w="4600" w:type="dxa"/>
          </w:tcPr>
          <w:p w14:paraId="71A18CD3" w14:textId="77777777" w:rsidR="00020592" w:rsidRPr="00130CE3" w:rsidRDefault="00020592" w:rsidP="00020592">
            <w:pPr>
              <w:rPr>
                <w:b/>
                <w:sz w:val="24"/>
                <w:szCs w:val="24"/>
              </w:rPr>
            </w:pPr>
            <w:r w:rsidRPr="00130CE3">
              <w:rPr>
                <w:b/>
                <w:sz w:val="24"/>
                <w:szCs w:val="24"/>
              </w:rPr>
              <w:t xml:space="preserve">Benefits </w:t>
            </w:r>
          </w:p>
        </w:tc>
        <w:tc>
          <w:tcPr>
            <w:tcW w:w="4600" w:type="dxa"/>
          </w:tcPr>
          <w:p w14:paraId="5DA4711D" w14:textId="77777777" w:rsidR="00020592" w:rsidRPr="00130CE3" w:rsidRDefault="00020592" w:rsidP="00020592">
            <w:pPr>
              <w:rPr>
                <w:b/>
                <w:sz w:val="24"/>
                <w:szCs w:val="24"/>
              </w:rPr>
            </w:pPr>
            <w:r w:rsidRPr="00130CE3">
              <w:rPr>
                <w:b/>
                <w:sz w:val="24"/>
                <w:szCs w:val="24"/>
              </w:rPr>
              <w:t>Costs</w:t>
            </w:r>
          </w:p>
        </w:tc>
      </w:tr>
      <w:tr w:rsidR="00020592" w:rsidRPr="00DF5911" w14:paraId="3789AABA" w14:textId="77777777" w:rsidTr="002A4B63">
        <w:trPr>
          <w:trHeight w:val="377"/>
        </w:trPr>
        <w:tc>
          <w:tcPr>
            <w:tcW w:w="4600" w:type="dxa"/>
          </w:tcPr>
          <w:p w14:paraId="3B52CBE8" w14:textId="77777777" w:rsidR="00020592" w:rsidRPr="006167D4" w:rsidRDefault="00020592" w:rsidP="00020592">
            <w:pPr>
              <w:rPr>
                <w:sz w:val="24"/>
                <w:szCs w:val="24"/>
              </w:rPr>
            </w:pPr>
            <w:r w:rsidRPr="00DF5911">
              <w:rPr>
                <w:sz w:val="24"/>
                <w:szCs w:val="24"/>
              </w:rPr>
              <w:t xml:space="preserve">Certainty for </w:t>
            </w:r>
            <w:proofErr w:type="spellStart"/>
            <w:r w:rsidRPr="00DF5911">
              <w:rPr>
                <w:sz w:val="24"/>
                <w:szCs w:val="24"/>
              </w:rPr>
              <w:t>bailees</w:t>
            </w:r>
            <w:proofErr w:type="spellEnd"/>
            <w:r w:rsidRPr="00DF5911">
              <w:rPr>
                <w:sz w:val="24"/>
                <w:szCs w:val="24"/>
              </w:rPr>
              <w:t xml:space="preserve"> and bailors a</w:t>
            </w:r>
            <w:r w:rsidRPr="006167D4">
              <w:rPr>
                <w:sz w:val="24"/>
                <w:szCs w:val="24"/>
              </w:rPr>
              <w:t>s the law maintains the status quo</w:t>
            </w:r>
          </w:p>
        </w:tc>
        <w:tc>
          <w:tcPr>
            <w:tcW w:w="4600" w:type="dxa"/>
          </w:tcPr>
          <w:p w14:paraId="72656968" w14:textId="77777777" w:rsidR="00020592" w:rsidRPr="006167D4" w:rsidRDefault="00020592" w:rsidP="00020592">
            <w:pPr>
              <w:rPr>
                <w:sz w:val="24"/>
                <w:szCs w:val="24"/>
              </w:rPr>
            </w:pPr>
            <w:r w:rsidRPr="006167D4">
              <w:rPr>
                <w:sz w:val="24"/>
                <w:szCs w:val="24"/>
              </w:rPr>
              <w:t>Amount of red tape discourages compliance with the law</w:t>
            </w:r>
          </w:p>
        </w:tc>
      </w:tr>
      <w:tr w:rsidR="00020592" w:rsidRPr="00DF5911" w14:paraId="04839A4F" w14:textId="77777777" w:rsidTr="002A4B63">
        <w:trPr>
          <w:trHeight w:val="377"/>
        </w:trPr>
        <w:tc>
          <w:tcPr>
            <w:tcW w:w="4600" w:type="dxa"/>
          </w:tcPr>
          <w:p w14:paraId="3767636F" w14:textId="77777777" w:rsidR="00020592" w:rsidRPr="006167D4" w:rsidRDefault="00020592" w:rsidP="00020592">
            <w:pPr>
              <w:rPr>
                <w:sz w:val="24"/>
                <w:szCs w:val="24"/>
              </w:rPr>
            </w:pPr>
            <w:proofErr w:type="spellStart"/>
            <w:r w:rsidRPr="00DF5911">
              <w:rPr>
                <w:sz w:val="24"/>
                <w:szCs w:val="24"/>
              </w:rPr>
              <w:t>Bailees</w:t>
            </w:r>
            <w:proofErr w:type="spellEnd"/>
            <w:r w:rsidRPr="00DF5911">
              <w:rPr>
                <w:sz w:val="24"/>
                <w:szCs w:val="24"/>
              </w:rPr>
              <w:t xml:space="preserve"> do not need to adjust compliance mechanisms</w:t>
            </w:r>
          </w:p>
        </w:tc>
        <w:tc>
          <w:tcPr>
            <w:tcW w:w="4600" w:type="dxa"/>
          </w:tcPr>
          <w:p w14:paraId="145E6634" w14:textId="77777777" w:rsidR="00020592" w:rsidRPr="006167D4" w:rsidRDefault="00020592" w:rsidP="00020592">
            <w:pPr>
              <w:rPr>
                <w:sz w:val="24"/>
                <w:szCs w:val="24"/>
              </w:rPr>
            </w:pPr>
            <w:r w:rsidRPr="006167D4">
              <w:rPr>
                <w:sz w:val="24"/>
                <w:szCs w:val="24"/>
              </w:rPr>
              <w:t>Consumers will not receive proper notice of their goods being available as businesses will be discouraged from following the law</w:t>
            </w:r>
          </w:p>
        </w:tc>
      </w:tr>
      <w:tr w:rsidR="00020592" w:rsidRPr="00DF5911" w14:paraId="3154AF27" w14:textId="77777777" w:rsidTr="002A4B63">
        <w:trPr>
          <w:trHeight w:val="362"/>
        </w:trPr>
        <w:tc>
          <w:tcPr>
            <w:tcW w:w="4600" w:type="dxa"/>
          </w:tcPr>
          <w:p w14:paraId="47C36BC4" w14:textId="77777777" w:rsidR="00020592" w:rsidRPr="00DF5911" w:rsidRDefault="00020592" w:rsidP="00020592">
            <w:pPr>
              <w:rPr>
                <w:sz w:val="24"/>
                <w:szCs w:val="24"/>
              </w:rPr>
            </w:pPr>
          </w:p>
        </w:tc>
        <w:tc>
          <w:tcPr>
            <w:tcW w:w="4600" w:type="dxa"/>
          </w:tcPr>
          <w:p w14:paraId="2F0A1858" w14:textId="77777777" w:rsidR="00020592" w:rsidRPr="006167D4" w:rsidRDefault="00020592" w:rsidP="00020592">
            <w:pPr>
              <w:rPr>
                <w:sz w:val="24"/>
                <w:szCs w:val="24"/>
              </w:rPr>
            </w:pPr>
            <w:r w:rsidRPr="006167D4">
              <w:rPr>
                <w:sz w:val="24"/>
                <w:szCs w:val="24"/>
              </w:rPr>
              <w:t>Office of the Commissioner of Police will continue to be inundated with notices of goods being ready for collection</w:t>
            </w:r>
          </w:p>
        </w:tc>
      </w:tr>
    </w:tbl>
    <w:p w14:paraId="18D03413" w14:textId="77777777" w:rsidR="00020592" w:rsidRPr="000D630E" w:rsidRDefault="00020592" w:rsidP="00020592">
      <w:pPr>
        <w:rPr>
          <w:lang w:val="en-AU"/>
        </w:rPr>
      </w:pPr>
    </w:p>
    <w:p w14:paraId="066A8CA1" w14:textId="20464761" w:rsidR="00020592" w:rsidRPr="000D630E" w:rsidRDefault="009806EB" w:rsidP="00020592">
      <w:pPr>
        <w:pStyle w:val="Heading2"/>
        <w:rPr>
          <w:lang w:val="en-AU"/>
        </w:rPr>
      </w:pPr>
      <w:r>
        <w:rPr>
          <w:lang w:val="en-AU"/>
        </w:rPr>
        <w:br w:type="page"/>
      </w:r>
      <w:bookmarkStart w:id="25" w:name="_Toc1132981"/>
      <w:r w:rsidR="00020592" w:rsidRPr="000D630E">
        <w:rPr>
          <w:lang w:val="en-AU"/>
        </w:rPr>
        <w:lastRenderedPageBreak/>
        <w:t>Option 2: Create value categories</w:t>
      </w:r>
      <w:bookmarkEnd w:id="25"/>
    </w:p>
    <w:p w14:paraId="23C9E00F" w14:textId="77777777" w:rsidR="00796535" w:rsidRDefault="00020592" w:rsidP="00D63E40">
      <w:pPr>
        <w:keepNext/>
        <w:rPr>
          <w:lang w:val="en-AU"/>
        </w:rPr>
      </w:pPr>
      <w:r w:rsidRPr="000D630E">
        <w:rPr>
          <w:lang w:val="en-AU"/>
        </w:rPr>
        <w:t>The Act currently has the same regulatory requirement for the sale of uncollected goods</w:t>
      </w:r>
      <w:r w:rsidR="00F54FD5">
        <w:rPr>
          <w:lang w:val="en-AU"/>
        </w:rPr>
        <w:t>,</w:t>
      </w:r>
      <w:r w:rsidRPr="000D630E">
        <w:rPr>
          <w:lang w:val="en-AU"/>
        </w:rPr>
        <w:t xml:space="preserve"> whether it be a $50 watch not collected from a jeweller</w:t>
      </w:r>
      <w:r w:rsidR="00F54FD5">
        <w:rPr>
          <w:lang w:val="en-AU"/>
        </w:rPr>
        <w:t>,</w:t>
      </w:r>
      <w:r w:rsidRPr="000D630E">
        <w:rPr>
          <w:lang w:val="en-AU"/>
        </w:rPr>
        <w:t xml:space="preserve"> </w:t>
      </w:r>
      <w:r w:rsidR="00F54FD5">
        <w:rPr>
          <w:lang w:val="en-AU"/>
        </w:rPr>
        <w:t>or</w:t>
      </w:r>
      <w:r w:rsidR="00F54FD5" w:rsidRPr="000D630E">
        <w:rPr>
          <w:lang w:val="en-AU"/>
        </w:rPr>
        <w:t xml:space="preserve"> </w:t>
      </w:r>
      <w:r w:rsidRPr="000D630E">
        <w:rPr>
          <w:lang w:val="en-AU"/>
        </w:rPr>
        <w:t xml:space="preserve">a $5,000 car not collected from a mechanic. </w:t>
      </w:r>
    </w:p>
    <w:p w14:paraId="40A1BA28" w14:textId="1ECC12E8" w:rsidR="00020592" w:rsidRDefault="00796535" w:rsidP="00D63E40">
      <w:pPr>
        <w:keepNext/>
        <w:rPr>
          <w:lang w:val="en-AU"/>
        </w:rPr>
      </w:pPr>
      <w:r>
        <w:rPr>
          <w:lang w:val="en-AU"/>
        </w:rPr>
        <w:t>The addition of a</w:t>
      </w:r>
      <w:r w:rsidR="00020592" w:rsidRPr="000D630E">
        <w:rPr>
          <w:lang w:val="en-AU"/>
        </w:rPr>
        <w:t xml:space="preserve"> value category system</w:t>
      </w:r>
      <w:r w:rsidR="00255565">
        <w:rPr>
          <w:lang w:val="en-AU"/>
        </w:rPr>
        <w:t>, which has been adopted in other jurisdictions such as NSW,</w:t>
      </w:r>
      <w:r w:rsidR="00020592" w:rsidRPr="000D630E">
        <w:rPr>
          <w:lang w:val="en-AU"/>
        </w:rPr>
        <w:t xml:space="preserve"> would create a different set of rules to </w:t>
      </w:r>
      <w:r w:rsidR="00255565">
        <w:rPr>
          <w:lang w:val="en-AU"/>
        </w:rPr>
        <w:t>follow,</w:t>
      </w:r>
      <w:r w:rsidR="00020592" w:rsidRPr="000D630E">
        <w:rPr>
          <w:lang w:val="en-AU"/>
        </w:rPr>
        <w:t xml:space="preserve"> </w:t>
      </w:r>
      <w:r w:rsidR="00255565" w:rsidRPr="000D630E">
        <w:rPr>
          <w:lang w:val="en-AU"/>
        </w:rPr>
        <w:t>depend</w:t>
      </w:r>
      <w:r w:rsidR="00255565">
        <w:rPr>
          <w:lang w:val="en-AU"/>
        </w:rPr>
        <w:t>ing</w:t>
      </w:r>
      <w:r w:rsidR="00255565" w:rsidRPr="000D630E">
        <w:rPr>
          <w:lang w:val="en-AU"/>
        </w:rPr>
        <w:t xml:space="preserve"> </w:t>
      </w:r>
      <w:r w:rsidR="00020592" w:rsidRPr="000D630E">
        <w:rPr>
          <w:lang w:val="en-AU"/>
        </w:rPr>
        <w:t xml:space="preserve">on the value of the goods.  </w:t>
      </w:r>
    </w:p>
    <w:p w14:paraId="4C90B393" w14:textId="5C0BCB1F" w:rsidR="00796535" w:rsidRPr="000D630E" w:rsidRDefault="00796535" w:rsidP="00D63E40">
      <w:pPr>
        <w:keepNext/>
        <w:rPr>
          <w:lang w:val="en-AU"/>
        </w:rPr>
      </w:pPr>
      <w:r>
        <w:rPr>
          <w:lang w:val="en-AU"/>
        </w:rPr>
        <w:t xml:space="preserve">This is a minimal policy change approach. </w:t>
      </w:r>
    </w:p>
    <w:p w14:paraId="176F56D1" w14:textId="77777777" w:rsidR="00020592" w:rsidRPr="000D630E" w:rsidRDefault="00020592" w:rsidP="001563CE">
      <w:pPr>
        <w:keepNext/>
        <w:rPr>
          <w:b/>
          <w:lang w:val="en-AU"/>
        </w:rPr>
      </w:pPr>
      <w:r w:rsidRPr="000D630E">
        <w:rPr>
          <w:b/>
          <w:lang w:val="en-AU"/>
        </w:rPr>
        <w:t>Impact Analysis</w:t>
      </w:r>
    </w:p>
    <w:tbl>
      <w:tblPr>
        <w:tblStyle w:val="TableGrid"/>
        <w:tblW w:w="9200" w:type="dxa"/>
        <w:tblLook w:val="04A0" w:firstRow="1" w:lastRow="0" w:firstColumn="1" w:lastColumn="0" w:noHBand="0" w:noVBand="1"/>
      </w:tblPr>
      <w:tblGrid>
        <w:gridCol w:w="4600"/>
        <w:gridCol w:w="4600"/>
      </w:tblGrid>
      <w:tr w:rsidR="00020592" w:rsidRPr="00130CE3" w14:paraId="19F3C289" w14:textId="77777777" w:rsidTr="002A4B63">
        <w:trPr>
          <w:trHeight w:val="377"/>
        </w:trPr>
        <w:tc>
          <w:tcPr>
            <w:tcW w:w="4600" w:type="dxa"/>
          </w:tcPr>
          <w:p w14:paraId="256251F1" w14:textId="77777777" w:rsidR="00020592" w:rsidRPr="000D630E" w:rsidRDefault="00020592" w:rsidP="00020592">
            <w:pPr>
              <w:rPr>
                <w:b/>
                <w:sz w:val="24"/>
                <w:szCs w:val="24"/>
              </w:rPr>
            </w:pPr>
            <w:r w:rsidRPr="000D630E">
              <w:rPr>
                <w:b/>
              </w:rPr>
              <w:t xml:space="preserve">Benefits </w:t>
            </w:r>
          </w:p>
        </w:tc>
        <w:tc>
          <w:tcPr>
            <w:tcW w:w="4600" w:type="dxa"/>
          </w:tcPr>
          <w:p w14:paraId="47EE3F00" w14:textId="77777777" w:rsidR="00020592" w:rsidRPr="000D630E" w:rsidRDefault="00020592" w:rsidP="00020592">
            <w:pPr>
              <w:rPr>
                <w:b/>
                <w:sz w:val="24"/>
                <w:szCs w:val="24"/>
              </w:rPr>
            </w:pPr>
            <w:r w:rsidRPr="000D630E">
              <w:rPr>
                <w:b/>
              </w:rPr>
              <w:t>Costs</w:t>
            </w:r>
          </w:p>
        </w:tc>
      </w:tr>
      <w:tr w:rsidR="00020592" w:rsidRPr="00DF5911" w14:paraId="7754B335" w14:textId="77777777" w:rsidTr="002A4B63">
        <w:trPr>
          <w:trHeight w:val="377"/>
        </w:trPr>
        <w:tc>
          <w:tcPr>
            <w:tcW w:w="4600" w:type="dxa"/>
          </w:tcPr>
          <w:p w14:paraId="377ACBF3" w14:textId="77777777" w:rsidR="00020592" w:rsidRPr="006167D4" w:rsidRDefault="00020592" w:rsidP="00020592">
            <w:pPr>
              <w:rPr>
                <w:sz w:val="24"/>
                <w:szCs w:val="24"/>
              </w:rPr>
            </w:pPr>
            <w:r w:rsidRPr="00DF5911">
              <w:rPr>
                <w:sz w:val="24"/>
                <w:szCs w:val="24"/>
              </w:rPr>
              <w:t>Disposal methods and notice requirements more suited to the value of the goods</w:t>
            </w:r>
          </w:p>
        </w:tc>
        <w:tc>
          <w:tcPr>
            <w:tcW w:w="4600" w:type="dxa"/>
          </w:tcPr>
          <w:p w14:paraId="7CEEFC5F" w14:textId="77777777" w:rsidR="00020592" w:rsidRPr="006167D4" w:rsidRDefault="00020592" w:rsidP="00020592">
            <w:pPr>
              <w:rPr>
                <w:sz w:val="24"/>
                <w:szCs w:val="24"/>
              </w:rPr>
            </w:pPr>
            <w:r w:rsidRPr="006167D4">
              <w:rPr>
                <w:sz w:val="24"/>
                <w:szCs w:val="24"/>
              </w:rPr>
              <w:t>Education of consumers and businesses needed</w:t>
            </w:r>
          </w:p>
        </w:tc>
      </w:tr>
      <w:tr w:rsidR="00020592" w:rsidRPr="00DF5911" w14:paraId="37EE14DA" w14:textId="77777777" w:rsidTr="002A4B63">
        <w:trPr>
          <w:trHeight w:val="377"/>
        </w:trPr>
        <w:tc>
          <w:tcPr>
            <w:tcW w:w="4600" w:type="dxa"/>
          </w:tcPr>
          <w:p w14:paraId="076BEB46" w14:textId="77777777" w:rsidR="00020592" w:rsidRPr="006167D4" w:rsidRDefault="00020592" w:rsidP="00020592">
            <w:pPr>
              <w:rPr>
                <w:sz w:val="24"/>
                <w:szCs w:val="24"/>
              </w:rPr>
            </w:pPr>
            <w:proofErr w:type="spellStart"/>
            <w:r w:rsidRPr="00DF5911">
              <w:rPr>
                <w:sz w:val="24"/>
                <w:szCs w:val="24"/>
              </w:rPr>
              <w:t>Bailees</w:t>
            </w:r>
            <w:proofErr w:type="spellEnd"/>
            <w:r w:rsidRPr="00DF5911">
              <w:rPr>
                <w:sz w:val="24"/>
                <w:szCs w:val="24"/>
              </w:rPr>
              <w:t xml:space="preserve"> more likely to comply with fairer requirem</w:t>
            </w:r>
            <w:r w:rsidRPr="006167D4">
              <w:rPr>
                <w:sz w:val="24"/>
                <w:szCs w:val="24"/>
              </w:rPr>
              <w:t xml:space="preserve">ents </w:t>
            </w:r>
          </w:p>
        </w:tc>
        <w:tc>
          <w:tcPr>
            <w:tcW w:w="4600" w:type="dxa"/>
          </w:tcPr>
          <w:p w14:paraId="522D8903" w14:textId="77777777" w:rsidR="00020592" w:rsidRPr="006167D4" w:rsidRDefault="00020592" w:rsidP="00020592">
            <w:pPr>
              <w:rPr>
                <w:sz w:val="24"/>
                <w:szCs w:val="24"/>
              </w:rPr>
            </w:pPr>
            <w:r w:rsidRPr="006167D4">
              <w:rPr>
                <w:sz w:val="24"/>
                <w:szCs w:val="24"/>
              </w:rPr>
              <w:t>Public auction houses may not receive as much business</w:t>
            </w:r>
          </w:p>
        </w:tc>
      </w:tr>
      <w:tr w:rsidR="00020592" w:rsidRPr="00DF5911" w14:paraId="5B9FBD28" w14:textId="77777777" w:rsidTr="002A4B63">
        <w:trPr>
          <w:trHeight w:val="362"/>
        </w:trPr>
        <w:tc>
          <w:tcPr>
            <w:tcW w:w="4600" w:type="dxa"/>
          </w:tcPr>
          <w:p w14:paraId="43A2C417" w14:textId="77777777" w:rsidR="00020592" w:rsidRPr="006167D4" w:rsidRDefault="00020592" w:rsidP="00020592">
            <w:pPr>
              <w:rPr>
                <w:sz w:val="24"/>
                <w:szCs w:val="24"/>
              </w:rPr>
            </w:pPr>
            <w:proofErr w:type="spellStart"/>
            <w:r w:rsidRPr="00DF5911">
              <w:rPr>
                <w:sz w:val="24"/>
                <w:szCs w:val="24"/>
              </w:rPr>
              <w:t>Bailees</w:t>
            </w:r>
            <w:proofErr w:type="spellEnd"/>
            <w:r w:rsidRPr="00DF5911">
              <w:rPr>
                <w:sz w:val="24"/>
                <w:szCs w:val="24"/>
              </w:rPr>
              <w:t xml:space="preserve"> have a higher chance of recouping costs, especially on low value items</w:t>
            </w:r>
          </w:p>
        </w:tc>
        <w:tc>
          <w:tcPr>
            <w:tcW w:w="4600" w:type="dxa"/>
          </w:tcPr>
          <w:p w14:paraId="5649787A" w14:textId="77777777" w:rsidR="00020592" w:rsidRPr="006167D4" w:rsidRDefault="00020592" w:rsidP="00020592">
            <w:pPr>
              <w:rPr>
                <w:sz w:val="24"/>
                <w:szCs w:val="24"/>
              </w:rPr>
            </w:pPr>
          </w:p>
        </w:tc>
      </w:tr>
    </w:tbl>
    <w:p w14:paraId="1A288365" w14:textId="39C3FD4F" w:rsidR="00020592" w:rsidRDefault="00020592" w:rsidP="00020592">
      <w:pPr>
        <w:rPr>
          <w:lang w:val="en-AU"/>
        </w:rPr>
      </w:pPr>
    </w:p>
    <w:p w14:paraId="2ED99B30" w14:textId="77777777" w:rsidR="00796535" w:rsidRPr="000D630E" w:rsidRDefault="00796535" w:rsidP="00020592">
      <w:pPr>
        <w:rPr>
          <w:lang w:val="en-AU"/>
        </w:rPr>
      </w:pPr>
    </w:p>
    <w:p w14:paraId="1F4587B2" w14:textId="77777777" w:rsidR="00020592" w:rsidRPr="000D630E" w:rsidRDefault="00020592" w:rsidP="00020592">
      <w:pPr>
        <w:pStyle w:val="Heading2"/>
        <w:rPr>
          <w:lang w:val="en-AU"/>
        </w:rPr>
      </w:pPr>
      <w:bookmarkStart w:id="26" w:name="_Toc1132982"/>
      <w:r w:rsidRPr="000D630E">
        <w:rPr>
          <w:lang w:val="en-AU"/>
        </w:rPr>
        <w:t>Option 3: Create value categories with additional categories for motor vehicles</w:t>
      </w:r>
      <w:bookmarkEnd w:id="26"/>
    </w:p>
    <w:p w14:paraId="49736E83" w14:textId="6607EA0D" w:rsidR="00020592" w:rsidRPr="000D630E" w:rsidRDefault="00796535" w:rsidP="00020592">
      <w:pPr>
        <w:rPr>
          <w:lang w:val="en-AU"/>
        </w:rPr>
      </w:pPr>
      <w:r>
        <w:rPr>
          <w:lang w:val="en-AU"/>
        </w:rPr>
        <w:t>This option also involves the creation of v</w:t>
      </w:r>
      <w:r w:rsidR="00020592" w:rsidRPr="000D630E">
        <w:rPr>
          <w:lang w:val="en-AU"/>
        </w:rPr>
        <w:t xml:space="preserve">alue categories </w:t>
      </w:r>
      <w:r w:rsidR="008A0F74">
        <w:rPr>
          <w:lang w:val="en-AU"/>
        </w:rPr>
        <w:t>(</w:t>
      </w:r>
      <w:r w:rsidR="00020592" w:rsidRPr="000D630E">
        <w:rPr>
          <w:lang w:val="en-AU"/>
        </w:rPr>
        <w:t>as above</w:t>
      </w:r>
      <w:r w:rsidR="008A0F74">
        <w:rPr>
          <w:lang w:val="en-AU"/>
        </w:rPr>
        <w:t>),</w:t>
      </w:r>
      <w:r w:rsidR="00020592" w:rsidRPr="000D630E">
        <w:rPr>
          <w:lang w:val="en-AU"/>
        </w:rPr>
        <w:t xml:space="preserve"> but with additional categories for dealing with </w:t>
      </w:r>
      <w:r>
        <w:rPr>
          <w:lang w:val="en-AU"/>
        </w:rPr>
        <w:t xml:space="preserve">specified </w:t>
      </w:r>
      <w:r w:rsidR="008A0F74">
        <w:rPr>
          <w:lang w:val="en-AU"/>
        </w:rPr>
        <w:t xml:space="preserve">high value goods such as </w:t>
      </w:r>
      <w:r w:rsidR="00020592" w:rsidRPr="000D630E">
        <w:rPr>
          <w:lang w:val="en-AU"/>
        </w:rPr>
        <w:t>motor vehicles.</w:t>
      </w:r>
    </w:p>
    <w:p w14:paraId="6C636FEE" w14:textId="77777777" w:rsidR="00020592" w:rsidRPr="000D630E" w:rsidRDefault="00020592" w:rsidP="00020592">
      <w:pPr>
        <w:rPr>
          <w:b/>
          <w:lang w:val="en-AU"/>
        </w:rPr>
      </w:pPr>
      <w:r w:rsidRPr="000D630E">
        <w:rPr>
          <w:b/>
          <w:lang w:val="en-AU"/>
        </w:rPr>
        <w:t>Impact Analysis</w:t>
      </w:r>
    </w:p>
    <w:tbl>
      <w:tblPr>
        <w:tblStyle w:val="TableGrid"/>
        <w:tblW w:w="9200" w:type="dxa"/>
        <w:tblLook w:val="04A0" w:firstRow="1" w:lastRow="0" w:firstColumn="1" w:lastColumn="0" w:noHBand="0" w:noVBand="1"/>
      </w:tblPr>
      <w:tblGrid>
        <w:gridCol w:w="4600"/>
        <w:gridCol w:w="4600"/>
      </w:tblGrid>
      <w:tr w:rsidR="00020592" w:rsidRPr="00130CE3" w14:paraId="0875DE70" w14:textId="77777777" w:rsidTr="002A4B63">
        <w:trPr>
          <w:trHeight w:val="377"/>
        </w:trPr>
        <w:tc>
          <w:tcPr>
            <w:tcW w:w="4600" w:type="dxa"/>
          </w:tcPr>
          <w:p w14:paraId="3DC9DD38" w14:textId="77777777" w:rsidR="00020592" w:rsidRPr="000D630E" w:rsidRDefault="00020592" w:rsidP="002A4B63">
            <w:pPr>
              <w:rPr>
                <w:rFonts w:cs="Arial"/>
                <w:b/>
                <w:sz w:val="24"/>
                <w:szCs w:val="24"/>
              </w:rPr>
            </w:pPr>
            <w:r w:rsidRPr="000D630E">
              <w:rPr>
                <w:rFonts w:cs="Arial"/>
                <w:b/>
              </w:rPr>
              <w:t xml:space="preserve">Benefits </w:t>
            </w:r>
          </w:p>
        </w:tc>
        <w:tc>
          <w:tcPr>
            <w:tcW w:w="4600" w:type="dxa"/>
          </w:tcPr>
          <w:p w14:paraId="04388C95" w14:textId="77777777" w:rsidR="00020592" w:rsidRPr="000D630E" w:rsidRDefault="00020592" w:rsidP="002A4B63">
            <w:pPr>
              <w:rPr>
                <w:rFonts w:cs="Arial"/>
                <w:b/>
                <w:sz w:val="24"/>
                <w:szCs w:val="24"/>
              </w:rPr>
            </w:pPr>
            <w:r w:rsidRPr="000D630E">
              <w:rPr>
                <w:rFonts w:cs="Arial"/>
                <w:b/>
              </w:rPr>
              <w:t>Costs</w:t>
            </w:r>
          </w:p>
        </w:tc>
      </w:tr>
      <w:tr w:rsidR="00020592" w:rsidRPr="00DF5911" w14:paraId="137B27A4" w14:textId="77777777" w:rsidTr="002A4B63">
        <w:trPr>
          <w:trHeight w:val="377"/>
        </w:trPr>
        <w:tc>
          <w:tcPr>
            <w:tcW w:w="4600" w:type="dxa"/>
          </w:tcPr>
          <w:p w14:paraId="2CE32BE8" w14:textId="77777777" w:rsidR="00020592" w:rsidRPr="006167D4" w:rsidRDefault="00020592" w:rsidP="002A4B63">
            <w:pPr>
              <w:rPr>
                <w:rFonts w:cs="Arial"/>
                <w:sz w:val="24"/>
                <w:szCs w:val="24"/>
              </w:rPr>
            </w:pPr>
            <w:r w:rsidRPr="00DF5911">
              <w:rPr>
                <w:rFonts w:cs="Arial"/>
                <w:sz w:val="24"/>
                <w:szCs w:val="24"/>
              </w:rPr>
              <w:t>Better suited methods dependent on the value of the vehicle</w:t>
            </w:r>
          </w:p>
        </w:tc>
        <w:tc>
          <w:tcPr>
            <w:tcW w:w="4600" w:type="dxa"/>
          </w:tcPr>
          <w:p w14:paraId="2218261F" w14:textId="77777777" w:rsidR="00020592" w:rsidRPr="006167D4" w:rsidRDefault="00020592" w:rsidP="002A4B63">
            <w:pPr>
              <w:rPr>
                <w:rFonts w:cs="Arial"/>
                <w:sz w:val="24"/>
                <w:szCs w:val="24"/>
              </w:rPr>
            </w:pPr>
            <w:r w:rsidRPr="006167D4">
              <w:rPr>
                <w:rFonts w:cs="Arial"/>
                <w:sz w:val="24"/>
                <w:szCs w:val="24"/>
              </w:rPr>
              <w:t>Education of consumers and businesses needed</w:t>
            </w:r>
          </w:p>
        </w:tc>
      </w:tr>
      <w:tr w:rsidR="00020592" w:rsidRPr="00DF5911" w14:paraId="5F3367CC" w14:textId="77777777" w:rsidTr="002A4B63">
        <w:trPr>
          <w:trHeight w:val="377"/>
        </w:trPr>
        <w:tc>
          <w:tcPr>
            <w:tcW w:w="4600" w:type="dxa"/>
          </w:tcPr>
          <w:p w14:paraId="76AC70C7" w14:textId="77777777" w:rsidR="00020592" w:rsidRPr="006167D4" w:rsidRDefault="00020592" w:rsidP="002A4B63">
            <w:pPr>
              <w:rPr>
                <w:rFonts w:cs="Arial"/>
                <w:sz w:val="24"/>
                <w:szCs w:val="24"/>
              </w:rPr>
            </w:pPr>
            <w:r w:rsidRPr="00DF5911">
              <w:rPr>
                <w:rFonts w:cs="Arial"/>
                <w:sz w:val="24"/>
                <w:szCs w:val="24"/>
              </w:rPr>
              <w:t xml:space="preserve">Business more likely to recover losses </w:t>
            </w:r>
          </w:p>
        </w:tc>
        <w:tc>
          <w:tcPr>
            <w:tcW w:w="4600" w:type="dxa"/>
          </w:tcPr>
          <w:p w14:paraId="506F76F5" w14:textId="711EADC7" w:rsidR="00020592" w:rsidRPr="006167D4" w:rsidRDefault="00020592" w:rsidP="002A4B63">
            <w:pPr>
              <w:rPr>
                <w:rFonts w:cs="Arial"/>
                <w:sz w:val="24"/>
                <w:szCs w:val="24"/>
              </w:rPr>
            </w:pPr>
            <w:r w:rsidRPr="006167D4">
              <w:rPr>
                <w:rFonts w:cs="Arial"/>
                <w:sz w:val="24"/>
                <w:szCs w:val="24"/>
              </w:rPr>
              <w:t>Public auction houses may not receive as much business</w:t>
            </w:r>
            <w:r w:rsidR="001563CE">
              <w:rPr>
                <w:rFonts w:cs="Arial"/>
                <w:sz w:val="24"/>
                <w:szCs w:val="24"/>
              </w:rPr>
              <w:t xml:space="preserve"> </w:t>
            </w:r>
          </w:p>
        </w:tc>
      </w:tr>
      <w:tr w:rsidR="00020592" w:rsidRPr="00DF5911" w14:paraId="26C9B2C3" w14:textId="77777777" w:rsidTr="002A4B63">
        <w:trPr>
          <w:trHeight w:val="362"/>
        </w:trPr>
        <w:tc>
          <w:tcPr>
            <w:tcW w:w="4600" w:type="dxa"/>
          </w:tcPr>
          <w:p w14:paraId="5221F24C" w14:textId="77777777" w:rsidR="00020592" w:rsidRPr="006167D4" w:rsidRDefault="00020592" w:rsidP="002A4B63">
            <w:pPr>
              <w:rPr>
                <w:rFonts w:cs="Arial"/>
                <w:sz w:val="24"/>
                <w:szCs w:val="24"/>
              </w:rPr>
            </w:pPr>
            <w:r w:rsidRPr="00DF5911">
              <w:rPr>
                <w:rFonts w:cs="Arial"/>
                <w:sz w:val="24"/>
                <w:szCs w:val="24"/>
              </w:rPr>
              <w:t>Reduced red tape</w:t>
            </w:r>
          </w:p>
        </w:tc>
        <w:tc>
          <w:tcPr>
            <w:tcW w:w="4600" w:type="dxa"/>
          </w:tcPr>
          <w:p w14:paraId="7B592ABE" w14:textId="77777777" w:rsidR="00020592" w:rsidRPr="006167D4" w:rsidRDefault="00020592" w:rsidP="002A4B63">
            <w:pPr>
              <w:rPr>
                <w:rFonts w:cs="Arial"/>
                <w:sz w:val="24"/>
                <w:szCs w:val="24"/>
              </w:rPr>
            </w:pPr>
          </w:p>
        </w:tc>
      </w:tr>
    </w:tbl>
    <w:p w14:paraId="22DBA082" w14:textId="77777777" w:rsidR="00020592" w:rsidRPr="000D630E" w:rsidRDefault="00020592" w:rsidP="00020592">
      <w:pPr>
        <w:rPr>
          <w:lang w:val="en-AU"/>
        </w:rPr>
      </w:pPr>
    </w:p>
    <w:p w14:paraId="5EA96182" w14:textId="62DFC901" w:rsidR="00020592" w:rsidRPr="000D630E" w:rsidRDefault="009806EB" w:rsidP="00020592">
      <w:pPr>
        <w:pStyle w:val="Heading2"/>
        <w:rPr>
          <w:lang w:val="en-AU"/>
        </w:rPr>
      </w:pPr>
      <w:r>
        <w:rPr>
          <w:lang w:val="en-AU"/>
        </w:rPr>
        <w:br w:type="page"/>
      </w:r>
      <w:bookmarkStart w:id="27" w:name="_Toc1132983"/>
      <w:r w:rsidR="00020592" w:rsidRPr="000D630E">
        <w:rPr>
          <w:lang w:val="en-AU"/>
        </w:rPr>
        <w:lastRenderedPageBreak/>
        <w:t>Option 4 – Create value categories with additional categories for motor vehicles and perishable goods</w:t>
      </w:r>
      <w:bookmarkEnd w:id="27"/>
    </w:p>
    <w:p w14:paraId="230EA09B" w14:textId="0C42E831" w:rsidR="00020592" w:rsidRDefault="00020592" w:rsidP="000D630E">
      <w:pPr>
        <w:keepNext/>
        <w:rPr>
          <w:lang w:val="en-AU"/>
        </w:rPr>
      </w:pPr>
      <w:r w:rsidRPr="000D630E">
        <w:rPr>
          <w:lang w:val="en-AU"/>
        </w:rPr>
        <w:t xml:space="preserve">A comprehensive </w:t>
      </w:r>
      <w:r w:rsidR="008A0F74">
        <w:rPr>
          <w:lang w:val="en-AU"/>
        </w:rPr>
        <w:t xml:space="preserve">reform of the </w:t>
      </w:r>
      <w:r w:rsidRPr="000D630E">
        <w:rPr>
          <w:lang w:val="en-AU"/>
        </w:rPr>
        <w:t>Act</w:t>
      </w:r>
      <w:r w:rsidR="008A0F74">
        <w:rPr>
          <w:lang w:val="en-AU"/>
        </w:rPr>
        <w:t>, which</w:t>
      </w:r>
      <w:r w:rsidRPr="000D630E">
        <w:rPr>
          <w:lang w:val="en-AU"/>
        </w:rPr>
        <w:t xml:space="preserve"> would include </w:t>
      </w:r>
      <w:r w:rsidR="00796535">
        <w:rPr>
          <w:lang w:val="en-AU"/>
        </w:rPr>
        <w:t xml:space="preserve">the creation of </w:t>
      </w:r>
      <w:r w:rsidRPr="000D630E">
        <w:rPr>
          <w:lang w:val="en-AU"/>
        </w:rPr>
        <w:t>value categories</w:t>
      </w:r>
      <w:r w:rsidR="008A0F74">
        <w:rPr>
          <w:lang w:val="en-AU"/>
        </w:rPr>
        <w:t>,</w:t>
      </w:r>
      <w:r w:rsidRPr="000D630E">
        <w:rPr>
          <w:lang w:val="en-AU"/>
        </w:rPr>
        <w:t xml:space="preserve"> plus additional procedure</w:t>
      </w:r>
      <w:r w:rsidR="008A0F74">
        <w:rPr>
          <w:lang w:val="en-AU"/>
        </w:rPr>
        <w:t>s</w:t>
      </w:r>
      <w:r w:rsidRPr="000D630E">
        <w:rPr>
          <w:lang w:val="en-AU"/>
        </w:rPr>
        <w:t xml:space="preserve"> for motor vehicles and perishable goods.</w:t>
      </w:r>
    </w:p>
    <w:p w14:paraId="146EB2E4" w14:textId="59252088" w:rsidR="008A0F74" w:rsidRDefault="008A0F74" w:rsidP="000D630E">
      <w:pPr>
        <w:keepNext/>
        <w:rPr>
          <w:lang w:val="en-AU"/>
        </w:rPr>
      </w:pPr>
      <w:r>
        <w:rPr>
          <w:lang w:val="en-AU"/>
        </w:rPr>
        <w:t>The following approach is proposed:</w:t>
      </w:r>
    </w:p>
    <w:p w14:paraId="232E381B" w14:textId="77777777" w:rsidR="008A0F74" w:rsidRPr="006167D4" w:rsidRDefault="008A0F74" w:rsidP="009806EB">
      <w:pPr>
        <w:pStyle w:val="ListParagraph"/>
        <w:numPr>
          <w:ilvl w:val="0"/>
          <w:numId w:val="42"/>
        </w:numPr>
        <w:ind w:hanging="357"/>
        <w:contextualSpacing w:val="0"/>
      </w:pPr>
      <w:r w:rsidRPr="006167D4">
        <w:t>Develop a new Act and repeal the existing Act</w:t>
      </w:r>
    </w:p>
    <w:p w14:paraId="3F2B3B40" w14:textId="55BC8351" w:rsidR="008A0F74" w:rsidRPr="006167D4" w:rsidRDefault="008A0F74" w:rsidP="009806EB">
      <w:pPr>
        <w:pStyle w:val="ListParagraph"/>
        <w:numPr>
          <w:ilvl w:val="0"/>
          <w:numId w:val="42"/>
        </w:numPr>
        <w:ind w:hanging="357"/>
        <w:contextualSpacing w:val="0"/>
      </w:pPr>
      <w:r w:rsidRPr="006167D4">
        <w:t xml:space="preserve">The Act </w:t>
      </w:r>
      <w:r w:rsidR="00D93CBD">
        <w:t>could include</w:t>
      </w:r>
      <w:r w:rsidRPr="006167D4">
        <w:t>:</w:t>
      </w:r>
    </w:p>
    <w:p w14:paraId="788CDF1D" w14:textId="27888E32" w:rsidR="008A0F74" w:rsidRPr="006167D4" w:rsidRDefault="008A0F74" w:rsidP="009806EB">
      <w:pPr>
        <w:pStyle w:val="ListParagraph"/>
        <w:numPr>
          <w:ilvl w:val="1"/>
          <w:numId w:val="42"/>
        </w:numPr>
        <w:contextualSpacing w:val="0"/>
      </w:pPr>
      <w:r w:rsidRPr="006167D4">
        <w:t>Value categories</w:t>
      </w:r>
      <w:r w:rsidR="009806EB">
        <w:t xml:space="preserve"> (</w:t>
      </w:r>
      <w:r w:rsidR="009806EB" w:rsidRPr="009806EB">
        <w:t xml:space="preserve">suggested categories </w:t>
      </w:r>
      <w:r w:rsidR="009806EB">
        <w:t>detailed on the next page)</w:t>
      </w:r>
    </w:p>
    <w:p w14:paraId="4F5845B5" w14:textId="77777777" w:rsidR="008A0F74" w:rsidRPr="006167D4" w:rsidRDefault="008A0F74" w:rsidP="009806EB">
      <w:pPr>
        <w:pStyle w:val="ListParagraph"/>
        <w:numPr>
          <w:ilvl w:val="1"/>
          <w:numId w:val="42"/>
        </w:numPr>
        <w:ind w:hanging="357"/>
        <w:contextualSpacing w:val="0"/>
      </w:pPr>
      <w:r w:rsidRPr="006167D4">
        <w:t xml:space="preserve">Separate categories for motor vehicles </w:t>
      </w:r>
    </w:p>
    <w:p w14:paraId="0877196F" w14:textId="77777777" w:rsidR="008A0F74" w:rsidRPr="006167D4" w:rsidRDefault="008A0F74" w:rsidP="009806EB">
      <w:pPr>
        <w:pStyle w:val="ListParagraph"/>
        <w:numPr>
          <w:ilvl w:val="1"/>
          <w:numId w:val="42"/>
        </w:numPr>
        <w:ind w:hanging="357"/>
        <w:contextualSpacing w:val="0"/>
      </w:pPr>
      <w:r w:rsidRPr="006167D4">
        <w:t>Separate process for dealing with perishable goods</w:t>
      </w:r>
    </w:p>
    <w:p w14:paraId="5C176148" w14:textId="77777777" w:rsidR="008A0F74" w:rsidRPr="002C5FB7" w:rsidRDefault="008A0F74" w:rsidP="009806EB">
      <w:pPr>
        <w:pStyle w:val="ListParagraph"/>
        <w:numPr>
          <w:ilvl w:val="1"/>
          <w:numId w:val="42"/>
        </w:numPr>
        <w:ind w:hanging="357"/>
        <w:contextualSpacing w:val="0"/>
      </w:pPr>
      <w:r w:rsidRPr="002C5FB7">
        <w:t>Reduced retention periods</w:t>
      </w:r>
    </w:p>
    <w:p w14:paraId="07FBFC93" w14:textId="2C2F40B6" w:rsidR="008A0F74" w:rsidRPr="00130CE3" w:rsidRDefault="00D93CBD" w:rsidP="009806EB">
      <w:pPr>
        <w:pStyle w:val="ListParagraph"/>
        <w:numPr>
          <w:ilvl w:val="0"/>
          <w:numId w:val="42"/>
        </w:numPr>
        <w:ind w:hanging="357"/>
        <w:contextualSpacing w:val="0"/>
      </w:pPr>
      <w:r>
        <w:t>Remove the requirement of the use of t</w:t>
      </w:r>
      <w:r w:rsidR="008A0F74" w:rsidRPr="00130CE3">
        <w:t>he Commissioner of Police</w:t>
      </w:r>
    </w:p>
    <w:p w14:paraId="691538B7" w14:textId="77777777" w:rsidR="008A0F74" w:rsidRPr="00E84D33" w:rsidRDefault="008A0F74" w:rsidP="009806EB">
      <w:pPr>
        <w:pStyle w:val="ListParagraph"/>
        <w:numPr>
          <w:ilvl w:val="0"/>
          <w:numId w:val="42"/>
        </w:numPr>
        <w:ind w:hanging="357"/>
        <w:contextualSpacing w:val="0"/>
      </w:pPr>
      <w:r w:rsidRPr="00130CE3">
        <w:t xml:space="preserve">Allow some goods to be </w:t>
      </w:r>
      <w:r w:rsidRPr="00E84D33">
        <w:t xml:space="preserve">disposed of by any method </w:t>
      </w:r>
    </w:p>
    <w:p w14:paraId="6E2DAFDA" w14:textId="77777777" w:rsidR="008A0F74" w:rsidRDefault="008A0F74" w:rsidP="009806EB">
      <w:pPr>
        <w:pStyle w:val="ListParagraph"/>
        <w:numPr>
          <w:ilvl w:val="0"/>
          <w:numId w:val="42"/>
        </w:numPr>
        <w:ind w:hanging="357"/>
        <w:contextualSpacing w:val="0"/>
      </w:pPr>
      <w:r w:rsidRPr="00AE2D36">
        <w:t>Insert the need to provide notice to  anyone who has registered an interest in the goods on the Personal Properties Securities Register</w:t>
      </w:r>
    </w:p>
    <w:p w14:paraId="533297E0" w14:textId="77777777" w:rsidR="008A0F74" w:rsidRPr="000D630E" w:rsidRDefault="008A0F74" w:rsidP="000D630E">
      <w:pPr>
        <w:keepNext/>
        <w:rPr>
          <w:lang w:val="en-AU"/>
        </w:rPr>
      </w:pPr>
    </w:p>
    <w:p w14:paraId="03340EC3" w14:textId="77777777" w:rsidR="00020592" w:rsidRPr="000D630E" w:rsidRDefault="00020592" w:rsidP="00020592">
      <w:pPr>
        <w:rPr>
          <w:b/>
          <w:lang w:val="en-AU"/>
        </w:rPr>
      </w:pPr>
      <w:r w:rsidRPr="000D630E">
        <w:rPr>
          <w:b/>
          <w:lang w:val="en-AU"/>
        </w:rPr>
        <w:t>Impact Analysis</w:t>
      </w:r>
    </w:p>
    <w:tbl>
      <w:tblPr>
        <w:tblStyle w:val="TableGrid"/>
        <w:tblW w:w="9200" w:type="dxa"/>
        <w:tblLook w:val="04A0" w:firstRow="1" w:lastRow="0" w:firstColumn="1" w:lastColumn="0" w:noHBand="0" w:noVBand="1"/>
      </w:tblPr>
      <w:tblGrid>
        <w:gridCol w:w="4600"/>
        <w:gridCol w:w="4600"/>
      </w:tblGrid>
      <w:tr w:rsidR="00020592" w:rsidRPr="00130CE3" w14:paraId="7E9FB6C2" w14:textId="77777777" w:rsidTr="002A4B63">
        <w:trPr>
          <w:trHeight w:val="377"/>
        </w:trPr>
        <w:tc>
          <w:tcPr>
            <w:tcW w:w="4600" w:type="dxa"/>
          </w:tcPr>
          <w:p w14:paraId="176B2546" w14:textId="77777777" w:rsidR="00020592" w:rsidRPr="000D630E" w:rsidRDefault="00020592" w:rsidP="002A4B63">
            <w:pPr>
              <w:rPr>
                <w:rFonts w:cs="Arial"/>
                <w:b/>
                <w:sz w:val="24"/>
                <w:szCs w:val="24"/>
              </w:rPr>
            </w:pPr>
            <w:r w:rsidRPr="000D630E">
              <w:rPr>
                <w:rFonts w:cs="Arial"/>
                <w:b/>
              </w:rPr>
              <w:t xml:space="preserve">Benefits </w:t>
            </w:r>
          </w:p>
        </w:tc>
        <w:tc>
          <w:tcPr>
            <w:tcW w:w="4600" w:type="dxa"/>
          </w:tcPr>
          <w:p w14:paraId="0481B23E" w14:textId="77777777" w:rsidR="00020592" w:rsidRPr="000D630E" w:rsidRDefault="00020592" w:rsidP="002A4B63">
            <w:pPr>
              <w:rPr>
                <w:rFonts w:cs="Arial"/>
                <w:b/>
                <w:sz w:val="24"/>
                <w:szCs w:val="24"/>
              </w:rPr>
            </w:pPr>
            <w:r w:rsidRPr="000D630E">
              <w:rPr>
                <w:rFonts w:cs="Arial"/>
                <w:b/>
              </w:rPr>
              <w:t>Costs</w:t>
            </w:r>
          </w:p>
        </w:tc>
      </w:tr>
      <w:tr w:rsidR="00020592" w:rsidRPr="00DF5911" w14:paraId="0C481B6B" w14:textId="77777777" w:rsidTr="002A4B63">
        <w:trPr>
          <w:trHeight w:val="377"/>
        </w:trPr>
        <w:tc>
          <w:tcPr>
            <w:tcW w:w="4600" w:type="dxa"/>
          </w:tcPr>
          <w:p w14:paraId="50332032" w14:textId="77777777" w:rsidR="00020592" w:rsidRPr="006167D4" w:rsidRDefault="00020592" w:rsidP="002A4B63">
            <w:pPr>
              <w:rPr>
                <w:rFonts w:cs="Arial"/>
                <w:sz w:val="24"/>
                <w:szCs w:val="24"/>
              </w:rPr>
            </w:pPr>
            <w:r w:rsidRPr="00DF5911">
              <w:rPr>
                <w:rFonts w:cs="Arial"/>
                <w:sz w:val="24"/>
                <w:szCs w:val="24"/>
              </w:rPr>
              <w:t>Encompasses the best of each jurisdiction’s legislation</w:t>
            </w:r>
          </w:p>
        </w:tc>
        <w:tc>
          <w:tcPr>
            <w:tcW w:w="4600" w:type="dxa"/>
          </w:tcPr>
          <w:p w14:paraId="5466F169" w14:textId="77777777" w:rsidR="00020592" w:rsidRPr="006167D4" w:rsidRDefault="00020592" w:rsidP="002A4B63">
            <w:pPr>
              <w:rPr>
                <w:rFonts w:cs="Arial"/>
                <w:sz w:val="24"/>
                <w:szCs w:val="24"/>
              </w:rPr>
            </w:pPr>
            <w:r w:rsidRPr="006167D4">
              <w:rPr>
                <w:rFonts w:cs="Arial"/>
                <w:sz w:val="24"/>
                <w:szCs w:val="24"/>
              </w:rPr>
              <w:t>Education of consumers and businesses needed</w:t>
            </w:r>
          </w:p>
        </w:tc>
      </w:tr>
      <w:tr w:rsidR="00020592" w:rsidRPr="00DF5911" w14:paraId="4783260B" w14:textId="77777777" w:rsidTr="002A4B63">
        <w:trPr>
          <w:trHeight w:val="377"/>
        </w:trPr>
        <w:tc>
          <w:tcPr>
            <w:tcW w:w="4600" w:type="dxa"/>
          </w:tcPr>
          <w:p w14:paraId="45509C48" w14:textId="77777777" w:rsidR="00020592" w:rsidRPr="006167D4" w:rsidRDefault="00020592" w:rsidP="002A4B63">
            <w:pPr>
              <w:rPr>
                <w:rFonts w:cs="Arial"/>
                <w:sz w:val="24"/>
                <w:szCs w:val="24"/>
              </w:rPr>
            </w:pPr>
            <w:r w:rsidRPr="00DF5911">
              <w:rPr>
                <w:rFonts w:cs="Arial"/>
                <w:sz w:val="24"/>
                <w:szCs w:val="24"/>
              </w:rPr>
              <w:t>Simple, clear process for dealing with all uncollected goods</w:t>
            </w:r>
          </w:p>
        </w:tc>
        <w:tc>
          <w:tcPr>
            <w:tcW w:w="4600" w:type="dxa"/>
          </w:tcPr>
          <w:p w14:paraId="408849C7" w14:textId="77777777" w:rsidR="00020592" w:rsidRPr="006167D4" w:rsidRDefault="00020592" w:rsidP="002A4B63">
            <w:pPr>
              <w:rPr>
                <w:rFonts w:cs="Arial"/>
                <w:sz w:val="24"/>
                <w:szCs w:val="24"/>
              </w:rPr>
            </w:pPr>
            <w:r w:rsidRPr="006167D4">
              <w:rPr>
                <w:rFonts w:cs="Arial"/>
                <w:sz w:val="24"/>
                <w:szCs w:val="24"/>
              </w:rPr>
              <w:t>Public auction houses may not receive as much business</w:t>
            </w:r>
          </w:p>
        </w:tc>
      </w:tr>
      <w:tr w:rsidR="00020592" w:rsidRPr="00DF5911" w14:paraId="69076341" w14:textId="77777777" w:rsidTr="002A4B63">
        <w:trPr>
          <w:trHeight w:val="362"/>
        </w:trPr>
        <w:tc>
          <w:tcPr>
            <w:tcW w:w="4600" w:type="dxa"/>
          </w:tcPr>
          <w:p w14:paraId="0D574A2B" w14:textId="77777777" w:rsidR="00020592" w:rsidRPr="006167D4" w:rsidRDefault="00020592" w:rsidP="002A4B63">
            <w:pPr>
              <w:rPr>
                <w:rFonts w:cs="Arial"/>
                <w:sz w:val="24"/>
                <w:szCs w:val="24"/>
              </w:rPr>
            </w:pPr>
            <w:r w:rsidRPr="00DF5911">
              <w:rPr>
                <w:rFonts w:cs="Arial"/>
                <w:sz w:val="24"/>
                <w:szCs w:val="24"/>
              </w:rPr>
              <w:t>An Act that is fair to the consumer and the business</w:t>
            </w:r>
          </w:p>
        </w:tc>
        <w:tc>
          <w:tcPr>
            <w:tcW w:w="4600" w:type="dxa"/>
          </w:tcPr>
          <w:p w14:paraId="68C502C0" w14:textId="77777777" w:rsidR="00020592" w:rsidRPr="006167D4" w:rsidRDefault="00020592" w:rsidP="002A4B63">
            <w:pPr>
              <w:rPr>
                <w:rFonts w:cs="Arial"/>
                <w:sz w:val="24"/>
                <w:szCs w:val="24"/>
              </w:rPr>
            </w:pPr>
          </w:p>
        </w:tc>
      </w:tr>
    </w:tbl>
    <w:p w14:paraId="6E4D87B3" w14:textId="40C0E6CA" w:rsidR="000C5EA6" w:rsidRPr="000C5EA6" w:rsidRDefault="000C5EA6" w:rsidP="000C5EA6">
      <w:pPr>
        <w:tabs>
          <w:tab w:val="center" w:pos="5099"/>
        </w:tabs>
        <w:rPr>
          <w:lang w:val="en-AU"/>
        </w:rPr>
        <w:sectPr w:rsidR="000C5EA6" w:rsidRPr="000C5EA6" w:rsidSect="002C24B9">
          <w:footerReference w:type="default" r:id="rId21"/>
          <w:type w:val="continuous"/>
          <w:pgSz w:w="11900" w:h="16840" w:code="9"/>
          <w:pgMar w:top="851" w:right="851" w:bottom="992" w:left="851" w:header="709" w:footer="646" w:gutter="0"/>
          <w:cols w:space="708"/>
        </w:sectPr>
      </w:pPr>
      <w:r>
        <w:rPr>
          <w:lang w:val="en-AU"/>
        </w:rPr>
        <w:tab/>
      </w:r>
    </w:p>
    <w:p w14:paraId="18960D50" w14:textId="77777777" w:rsidR="003D64A1" w:rsidRPr="009D0BB8" w:rsidRDefault="003D64A1" w:rsidP="003D64A1">
      <w:pPr>
        <w:pStyle w:val="Heading2"/>
        <w:spacing w:after="0"/>
        <w:rPr>
          <w:lang w:val="en-AU"/>
        </w:rPr>
      </w:pPr>
      <w:bookmarkStart w:id="28" w:name="_Toc1132984"/>
      <w:r>
        <w:rPr>
          <w:lang w:val="en-AU"/>
        </w:rPr>
        <w:lastRenderedPageBreak/>
        <w:t>Proposed Categories</w:t>
      </w:r>
      <w:bookmarkEnd w:id="28"/>
    </w:p>
    <w:tbl>
      <w:tblPr>
        <w:tblStyle w:val="TableGrid"/>
        <w:tblW w:w="15303" w:type="dxa"/>
        <w:tblLook w:val="04A0" w:firstRow="1" w:lastRow="0" w:firstColumn="1" w:lastColumn="0" w:noHBand="0" w:noVBand="1"/>
      </w:tblPr>
      <w:tblGrid>
        <w:gridCol w:w="3060"/>
        <w:gridCol w:w="3061"/>
        <w:gridCol w:w="3060"/>
        <w:gridCol w:w="3061"/>
        <w:gridCol w:w="3061"/>
      </w:tblGrid>
      <w:tr w:rsidR="000C5EA6" w:rsidRPr="00CC04EF" w14:paraId="62792BEB" w14:textId="77777777" w:rsidTr="00BD3949">
        <w:trPr>
          <w:trHeight w:val="300"/>
        </w:trPr>
        <w:tc>
          <w:tcPr>
            <w:tcW w:w="3060" w:type="dxa"/>
          </w:tcPr>
          <w:p w14:paraId="1BA1999A" w14:textId="77777777" w:rsidR="000C5EA6" w:rsidRPr="009806EB" w:rsidRDefault="000C5EA6" w:rsidP="00D54D43">
            <w:pPr>
              <w:rPr>
                <w:rFonts w:cs="Arial"/>
                <w:b/>
                <w:sz w:val="24"/>
                <w:szCs w:val="24"/>
              </w:rPr>
            </w:pPr>
            <w:r w:rsidRPr="009806EB">
              <w:rPr>
                <w:rFonts w:cs="Arial"/>
                <w:b/>
                <w:sz w:val="24"/>
                <w:szCs w:val="24"/>
              </w:rPr>
              <w:t>Type of Good</w:t>
            </w:r>
          </w:p>
        </w:tc>
        <w:tc>
          <w:tcPr>
            <w:tcW w:w="3061" w:type="dxa"/>
          </w:tcPr>
          <w:p w14:paraId="218E6CE8" w14:textId="77777777" w:rsidR="000C5EA6" w:rsidRPr="009806EB" w:rsidRDefault="000C5EA6" w:rsidP="00D54D43">
            <w:pPr>
              <w:rPr>
                <w:rFonts w:cs="Arial"/>
                <w:b/>
                <w:sz w:val="24"/>
                <w:szCs w:val="24"/>
              </w:rPr>
            </w:pPr>
            <w:r w:rsidRPr="009806EB">
              <w:rPr>
                <w:rFonts w:cs="Arial"/>
                <w:b/>
                <w:sz w:val="24"/>
                <w:szCs w:val="24"/>
              </w:rPr>
              <w:t>Value Categories</w:t>
            </w:r>
          </w:p>
        </w:tc>
        <w:tc>
          <w:tcPr>
            <w:tcW w:w="3060" w:type="dxa"/>
          </w:tcPr>
          <w:p w14:paraId="6FF4D074" w14:textId="77777777" w:rsidR="000C5EA6" w:rsidRPr="009806EB" w:rsidRDefault="000C5EA6" w:rsidP="00D54D43">
            <w:pPr>
              <w:rPr>
                <w:rFonts w:cs="Arial"/>
                <w:b/>
                <w:sz w:val="24"/>
                <w:szCs w:val="24"/>
              </w:rPr>
            </w:pPr>
            <w:r w:rsidRPr="009806EB">
              <w:rPr>
                <w:rFonts w:cs="Arial"/>
                <w:b/>
                <w:sz w:val="24"/>
                <w:szCs w:val="24"/>
              </w:rPr>
              <w:t>Notice Requirement</w:t>
            </w:r>
          </w:p>
        </w:tc>
        <w:tc>
          <w:tcPr>
            <w:tcW w:w="3061" w:type="dxa"/>
          </w:tcPr>
          <w:p w14:paraId="1DEDD99E" w14:textId="77777777" w:rsidR="000C5EA6" w:rsidRPr="009806EB" w:rsidRDefault="000C5EA6" w:rsidP="00D54D43">
            <w:pPr>
              <w:rPr>
                <w:rFonts w:cs="Arial"/>
                <w:sz w:val="24"/>
                <w:szCs w:val="24"/>
              </w:rPr>
            </w:pPr>
            <w:r w:rsidRPr="009806EB">
              <w:rPr>
                <w:rFonts w:cs="Arial"/>
                <w:b/>
                <w:sz w:val="24"/>
                <w:szCs w:val="24"/>
              </w:rPr>
              <w:t>Disposal Method</w:t>
            </w:r>
          </w:p>
        </w:tc>
        <w:tc>
          <w:tcPr>
            <w:tcW w:w="3061" w:type="dxa"/>
          </w:tcPr>
          <w:p w14:paraId="48C25665" w14:textId="77777777" w:rsidR="000C5EA6" w:rsidRPr="009806EB" w:rsidRDefault="000C5EA6" w:rsidP="00D54D43">
            <w:pPr>
              <w:rPr>
                <w:rFonts w:cs="Arial"/>
                <w:b/>
                <w:sz w:val="24"/>
                <w:szCs w:val="24"/>
              </w:rPr>
            </w:pPr>
            <w:r w:rsidRPr="009806EB">
              <w:rPr>
                <w:rFonts w:cs="Arial"/>
                <w:b/>
                <w:sz w:val="24"/>
                <w:szCs w:val="24"/>
              </w:rPr>
              <w:t xml:space="preserve">Retention Period </w:t>
            </w:r>
          </w:p>
        </w:tc>
      </w:tr>
      <w:tr w:rsidR="000C5EA6" w:rsidRPr="00CC04EF" w14:paraId="394D8AC3" w14:textId="77777777" w:rsidTr="00BD3949">
        <w:trPr>
          <w:trHeight w:val="1152"/>
        </w:trPr>
        <w:tc>
          <w:tcPr>
            <w:tcW w:w="3060" w:type="dxa"/>
            <w:vMerge w:val="restart"/>
          </w:tcPr>
          <w:p w14:paraId="5D96BE4C" w14:textId="77777777" w:rsidR="000C5EA6" w:rsidRPr="009806EB" w:rsidRDefault="000C5EA6" w:rsidP="00D54D43">
            <w:pPr>
              <w:rPr>
                <w:rFonts w:cs="Arial"/>
              </w:rPr>
            </w:pPr>
            <w:r w:rsidRPr="009806EB">
              <w:rPr>
                <w:rFonts w:cs="Arial"/>
                <w:b/>
              </w:rPr>
              <w:t>General Uncollected goods</w:t>
            </w:r>
          </w:p>
          <w:p w14:paraId="7B0F40F9" w14:textId="77777777" w:rsidR="000C5EA6" w:rsidRPr="009806EB" w:rsidRDefault="000C5EA6" w:rsidP="00D54D43">
            <w:pPr>
              <w:rPr>
                <w:rFonts w:cs="Arial"/>
                <w:b/>
              </w:rPr>
            </w:pPr>
          </w:p>
        </w:tc>
        <w:tc>
          <w:tcPr>
            <w:tcW w:w="3061" w:type="dxa"/>
          </w:tcPr>
          <w:p w14:paraId="133C88B8" w14:textId="77777777" w:rsidR="000C5EA6" w:rsidRPr="009806EB" w:rsidRDefault="000C5EA6" w:rsidP="00D54D43">
            <w:pPr>
              <w:rPr>
                <w:rFonts w:cs="Arial"/>
              </w:rPr>
            </w:pPr>
            <w:r w:rsidRPr="009806EB">
              <w:rPr>
                <w:rFonts w:cs="Arial"/>
                <w:b/>
              </w:rPr>
              <w:t>Low</w:t>
            </w:r>
            <w:r w:rsidRPr="009806EB">
              <w:rPr>
                <w:rFonts w:cs="Arial"/>
              </w:rPr>
              <w:t xml:space="preserve"> – less than $200</w:t>
            </w:r>
          </w:p>
        </w:tc>
        <w:tc>
          <w:tcPr>
            <w:tcW w:w="3060" w:type="dxa"/>
          </w:tcPr>
          <w:p w14:paraId="1455C2DA" w14:textId="77777777" w:rsidR="000C5EA6" w:rsidRPr="009806EB" w:rsidRDefault="000C5EA6" w:rsidP="00D54D43">
            <w:pPr>
              <w:rPr>
                <w:rFonts w:cs="Arial"/>
              </w:rPr>
            </w:pPr>
            <w:r w:rsidRPr="009806EB">
              <w:rPr>
                <w:rFonts w:cs="Arial"/>
              </w:rPr>
              <w:t>Written notice of intention to sell to bailor (</w:t>
            </w:r>
            <w:proofErr w:type="spellStart"/>
            <w:r w:rsidRPr="009806EB">
              <w:rPr>
                <w:rFonts w:cs="Arial"/>
              </w:rPr>
              <w:t>inc.</w:t>
            </w:r>
            <w:proofErr w:type="spellEnd"/>
            <w:r w:rsidRPr="009806EB">
              <w:rPr>
                <w:rFonts w:cs="Arial"/>
              </w:rPr>
              <w:t xml:space="preserve"> text, email or other) </w:t>
            </w:r>
          </w:p>
        </w:tc>
        <w:tc>
          <w:tcPr>
            <w:tcW w:w="3061" w:type="dxa"/>
          </w:tcPr>
          <w:p w14:paraId="3920EE07" w14:textId="77777777" w:rsidR="000C5EA6" w:rsidRPr="009806EB" w:rsidRDefault="000C5EA6" w:rsidP="00D54D43">
            <w:pPr>
              <w:rPr>
                <w:rFonts w:cs="Arial"/>
              </w:rPr>
            </w:pPr>
            <w:r w:rsidRPr="009806EB">
              <w:rPr>
                <w:rFonts w:cs="Arial"/>
              </w:rPr>
              <w:t>Any method, can be destroyed or kept by business owner</w:t>
            </w:r>
          </w:p>
        </w:tc>
        <w:tc>
          <w:tcPr>
            <w:tcW w:w="3061" w:type="dxa"/>
          </w:tcPr>
          <w:p w14:paraId="3F584B4C" w14:textId="77777777" w:rsidR="000C5EA6" w:rsidRPr="009806EB" w:rsidRDefault="000C5EA6" w:rsidP="00D54D43">
            <w:pPr>
              <w:rPr>
                <w:rFonts w:cs="Arial"/>
              </w:rPr>
            </w:pPr>
            <w:r w:rsidRPr="009806EB">
              <w:rPr>
                <w:rFonts w:cs="Arial"/>
              </w:rPr>
              <w:t>28 days after notice (60 if unable to establish contact with bailor)</w:t>
            </w:r>
          </w:p>
        </w:tc>
      </w:tr>
      <w:tr w:rsidR="000C5EA6" w:rsidRPr="00CC04EF" w14:paraId="59BBFCFA" w14:textId="77777777" w:rsidTr="00BD3949">
        <w:trPr>
          <w:trHeight w:val="1307"/>
        </w:trPr>
        <w:tc>
          <w:tcPr>
            <w:tcW w:w="3060" w:type="dxa"/>
            <w:vMerge/>
          </w:tcPr>
          <w:p w14:paraId="6ED120BF" w14:textId="77777777" w:rsidR="000C5EA6" w:rsidRPr="009806EB" w:rsidRDefault="000C5EA6" w:rsidP="00D54D43">
            <w:pPr>
              <w:rPr>
                <w:rFonts w:cs="Arial"/>
                <w:b/>
              </w:rPr>
            </w:pPr>
          </w:p>
        </w:tc>
        <w:tc>
          <w:tcPr>
            <w:tcW w:w="3061" w:type="dxa"/>
          </w:tcPr>
          <w:p w14:paraId="67E22B48" w14:textId="77777777" w:rsidR="000C5EA6" w:rsidRPr="009806EB" w:rsidRDefault="000C5EA6" w:rsidP="00D54D43">
            <w:pPr>
              <w:rPr>
                <w:rFonts w:cs="Arial"/>
                <w:b/>
              </w:rPr>
            </w:pPr>
            <w:r w:rsidRPr="009806EB">
              <w:rPr>
                <w:rFonts w:cs="Arial"/>
                <w:b/>
              </w:rPr>
              <w:t>Medium</w:t>
            </w:r>
            <w:r w:rsidRPr="009806EB">
              <w:rPr>
                <w:rFonts w:cs="Arial"/>
              </w:rPr>
              <w:t xml:space="preserve"> – Goods greater than $200 but less than $5,000</w:t>
            </w:r>
          </w:p>
        </w:tc>
        <w:tc>
          <w:tcPr>
            <w:tcW w:w="3060" w:type="dxa"/>
          </w:tcPr>
          <w:p w14:paraId="6AA35893" w14:textId="77777777" w:rsidR="000C5EA6" w:rsidRPr="009806EB" w:rsidRDefault="000C5EA6" w:rsidP="00D54D43">
            <w:pPr>
              <w:rPr>
                <w:rFonts w:cs="Arial"/>
              </w:rPr>
            </w:pPr>
            <w:r w:rsidRPr="009806EB">
              <w:rPr>
                <w:rFonts w:cs="Arial"/>
              </w:rPr>
              <w:t xml:space="preserve">Written notice of intention to sell to bailor and anyone with a publicly registered interest in the goods; and any other person having or claiming an interest in the goods of which the </w:t>
            </w:r>
            <w:proofErr w:type="spellStart"/>
            <w:r w:rsidRPr="009806EB">
              <w:rPr>
                <w:rFonts w:cs="Arial"/>
              </w:rPr>
              <w:t>bailee</w:t>
            </w:r>
            <w:proofErr w:type="spellEnd"/>
            <w:r w:rsidRPr="009806EB">
              <w:rPr>
                <w:rFonts w:cs="Arial"/>
              </w:rPr>
              <w:t xml:space="preserve"> is aware (</w:t>
            </w:r>
            <w:proofErr w:type="spellStart"/>
            <w:r w:rsidRPr="009806EB">
              <w:rPr>
                <w:rFonts w:cs="Arial"/>
              </w:rPr>
              <w:t>inc.</w:t>
            </w:r>
            <w:proofErr w:type="spellEnd"/>
            <w:r w:rsidRPr="009806EB">
              <w:rPr>
                <w:rFonts w:cs="Arial"/>
              </w:rPr>
              <w:t xml:space="preserve"> text, email or other)</w:t>
            </w:r>
          </w:p>
        </w:tc>
        <w:tc>
          <w:tcPr>
            <w:tcW w:w="3061" w:type="dxa"/>
          </w:tcPr>
          <w:p w14:paraId="1789DD11" w14:textId="77777777" w:rsidR="000C5EA6" w:rsidRPr="009806EB" w:rsidRDefault="000C5EA6" w:rsidP="00D54D43">
            <w:pPr>
              <w:rPr>
                <w:rFonts w:cs="Arial"/>
              </w:rPr>
            </w:pPr>
            <w:r w:rsidRPr="009806EB">
              <w:rPr>
                <w:rFonts w:cs="Arial"/>
              </w:rPr>
              <w:t xml:space="preserve">Private sale or public auction </w:t>
            </w:r>
          </w:p>
        </w:tc>
        <w:tc>
          <w:tcPr>
            <w:tcW w:w="3061" w:type="dxa"/>
          </w:tcPr>
          <w:p w14:paraId="1EF28A9A" w14:textId="77777777" w:rsidR="000C5EA6" w:rsidRPr="009806EB" w:rsidRDefault="000C5EA6" w:rsidP="00D54D43">
            <w:pPr>
              <w:rPr>
                <w:rFonts w:cs="Arial"/>
              </w:rPr>
            </w:pPr>
            <w:r w:rsidRPr="009806EB">
              <w:rPr>
                <w:rFonts w:cs="Arial"/>
              </w:rPr>
              <w:t>28 days after notice (90 if unable to establish contact with bailor)</w:t>
            </w:r>
          </w:p>
        </w:tc>
      </w:tr>
      <w:tr w:rsidR="000C5EA6" w:rsidRPr="00CC04EF" w14:paraId="6E187C1A" w14:textId="77777777" w:rsidTr="00BD3949">
        <w:trPr>
          <w:trHeight w:val="2150"/>
        </w:trPr>
        <w:tc>
          <w:tcPr>
            <w:tcW w:w="3060" w:type="dxa"/>
            <w:vMerge/>
          </w:tcPr>
          <w:p w14:paraId="1BE4E428" w14:textId="77777777" w:rsidR="000C5EA6" w:rsidRPr="009806EB" w:rsidRDefault="000C5EA6" w:rsidP="00D54D43">
            <w:pPr>
              <w:rPr>
                <w:rFonts w:cs="Arial"/>
                <w:b/>
              </w:rPr>
            </w:pPr>
          </w:p>
        </w:tc>
        <w:tc>
          <w:tcPr>
            <w:tcW w:w="3061" w:type="dxa"/>
          </w:tcPr>
          <w:p w14:paraId="37118422" w14:textId="77777777" w:rsidR="000C5EA6" w:rsidRPr="009806EB" w:rsidRDefault="000C5EA6" w:rsidP="00D54D43">
            <w:pPr>
              <w:rPr>
                <w:rFonts w:cs="Arial"/>
              </w:rPr>
            </w:pPr>
            <w:r w:rsidRPr="009806EB">
              <w:rPr>
                <w:rFonts w:cs="Arial"/>
                <w:b/>
              </w:rPr>
              <w:t>High</w:t>
            </w:r>
            <w:r w:rsidRPr="009806EB">
              <w:rPr>
                <w:rFonts w:cs="Arial"/>
              </w:rPr>
              <w:t xml:space="preserve"> – Goods worth more than $5,000</w:t>
            </w:r>
          </w:p>
        </w:tc>
        <w:tc>
          <w:tcPr>
            <w:tcW w:w="3060" w:type="dxa"/>
          </w:tcPr>
          <w:p w14:paraId="3606EFA2" w14:textId="77777777" w:rsidR="000C5EA6" w:rsidRPr="009806EB" w:rsidRDefault="000C5EA6" w:rsidP="00D54D43">
            <w:pPr>
              <w:rPr>
                <w:rFonts w:cs="Arial"/>
              </w:rPr>
            </w:pPr>
            <w:r w:rsidRPr="009806EB">
              <w:rPr>
                <w:rFonts w:cs="Arial"/>
              </w:rPr>
              <w:t xml:space="preserve">Written notice of intention to sell to bailor and anyone with a publicly registered interest in the goods; and any other person having or claiming an interest in the goods of which the </w:t>
            </w:r>
            <w:proofErr w:type="spellStart"/>
            <w:r w:rsidRPr="009806EB">
              <w:rPr>
                <w:rFonts w:cs="Arial"/>
              </w:rPr>
              <w:t>bailee</w:t>
            </w:r>
            <w:proofErr w:type="spellEnd"/>
            <w:r w:rsidRPr="009806EB">
              <w:rPr>
                <w:rFonts w:cs="Arial"/>
              </w:rPr>
              <w:t xml:space="preserve"> is aware (</w:t>
            </w:r>
            <w:proofErr w:type="spellStart"/>
            <w:r w:rsidRPr="009806EB">
              <w:rPr>
                <w:rFonts w:cs="Arial"/>
              </w:rPr>
              <w:t>inc.</w:t>
            </w:r>
            <w:proofErr w:type="spellEnd"/>
            <w:r w:rsidRPr="009806EB">
              <w:rPr>
                <w:rFonts w:cs="Arial"/>
              </w:rPr>
              <w:t xml:space="preserve"> text, email or other)</w:t>
            </w:r>
          </w:p>
        </w:tc>
        <w:tc>
          <w:tcPr>
            <w:tcW w:w="3061" w:type="dxa"/>
          </w:tcPr>
          <w:p w14:paraId="4323E72D" w14:textId="77777777" w:rsidR="000C5EA6" w:rsidRPr="009806EB" w:rsidRDefault="000C5EA6" w:rsidP="00D54D43">
            <w:pPr>
              <w:rPr>
                <w:rFonts w:cs="Arial"/>
              </w:rPr>
            </w:pPr>
            <w:r w:rsidRPr="009806EB">
              <w:rPr>
                <w:rFonts w:cs="Arial"/>
              </w:rPr>
              <w:t>Private sale or public auction</w:t>
            </w:r>
          </w:p>
        </w:tc>
        <w:tc>
          <w:tcPr>
            <w:tcW w:w="3061" w:type="dxa"/>
          </w:tcPr>
          <w:p w14:paraId="53689492" w14:textId="77777777" w:rsidR="000C5EA6" w:rsidRPr="009806EB" w:rsidRDefault="000C5EA6" w:rsidP="00D54D43">
            <w:pPr>
              <w:rPr>
                <w:rFonts w:cs="Arial"/>
              </w:rPr>
            </w:pPr>
            <w:r w:rsidRPr="009806EB">
              <w:rPr>
                <w:rFonts w:cs="Arial"/>
              </w:rPr>
              <w:t>28 days after notice (180 if unable to establish contact with bailor)</w:t>
            </w:r>
          </w:p>
        </w:tc>
      </w:tr>
      <w:tr w:rsidR="000C5EA6" w:rsidRPr="00CC04EF" w14:paraId="4D1FFFDF" w14:textId="77777777" w:rsidTr="00BD3949">
        <w:trPr>
          <w:trHeight w:val="659"/>
        </w:trPr>
        <w:tc>
          <w:tcPr>
            <w:tcW w:w="3060" w:type="dxa"/>
          </w:tcPr>
          <w:p w14:paraId="3C5DF432" w14:textId="77777777" w:rsidR="000C5EA6" w:rsidRPr="009806EB" w:rsidRDefault="000C5EA6" w:rsidP="00D54D43">
            <w:pPr>
              <w:rPr>
                <w:rFonts w:cs="Arial"/>
                <w:b/>
              </w:rPr>
            </w:pPr>
            <w:r w:rsidRPr="009806EB">
              <w:rPr>
                <w:rFonts w:cs="Arial"/>
                <w:b/>
              </w:rPr>
              <w:t>Motor Vehicles (including watercraft and aircraft)</w:t>
            </w:r>
          </w:p>
          <w:p w14:paraId="7B6DFAA7" w14:textId="77777777" w:rsidR="000C5EA6" w:rsidRPr="009806EB" w:rsidRDefault="000C5EA6" w:rsidP="00D54D43">
            <w:pPr>
              <w:rPr>
                <w:rFonts w:cs="Arial"/>
                <w:b/>
              </w:rPr>
            </w:pPr>
          </w:p>
        </w:tc>
        <w:tc>
          <w:tcPr>
            <w:tcW w:w="3061" w:type="dxa"/>
          </w:tcPr>
          <w:p w14:paraId="4535C65D" w14:textId="77777777" w:rsidR="000C5EA6" w:rsidRPr="009806EB" w:rsidRDefault="000C5EA6" w:rsidP="00D54D43">
            <w:pPr>
              <w:rPr>
                <w:rFonts w:cs="Arial"/>
              </w:rPr>
            </w:pPr>
            <w:r w:rsidRPr="009806EB">
              <w:rPr>
                <w:rFonts w:cs="Arial"/>
                <w:b/>
              </w:rPr>
              <w:t>Low</w:t>
            </w:r>
            <w:r w:rsidRPr="009806EB">
              <w:rPr>
                <w:rFonts w:cs="Arial"/>
              </w:rPr>
              <w:t xml:space="preserve"> – less than $1,000</w:t>
            </w:r>
          </w:p>
          <w:p w14:paraId="3B07B4A1" w14:textId="77777777" w:rsidR="000C5EA6" w:rsidRPr="009806EB" w:rsidRDefault="000C5EA6" w:rsidP="00D54D43">
            <w:pPr>
              <w:rPr>
                <w:rFonts w:cs="Arial"/>
              </w:rPr>
            </w:pPr>
            <w:r w:rsidRPr="009806EB">
              <w:rPr>
                <w:rFonts w:cs="Arial"/>
                <w:b/>
              </w:rPr>
              <w:t>Medium</w:t>
            </w:r>
            <w:r w:rsidRPr="009806EB">
              <w:rPr>
                <w:rFonts w:cs="Arial"/>
              </w:rPr>
              <w:t xml:space="preserve"> – greater than $1,000, less than $5,000</w:t>
            </w:r>
          </w:p>
          <w:p w14:paraId="31A94BF9" w14:textId="77777777" w:rsidR="000C5EA6" w:rsidRPr="009806EB" w:rsidRDefault="000C5EA6" w:rsidP="00D54D43">
            <w:pPr>
              <w:rPr>
                <w:rFonts w:cs="Arial"/>
              </w:rPr>
            </w:pPr>
            <w:r w:rsidRPr="009806EB">
              <w:rPr>
                <w:rFonts w:cs="Arial"/>
                <w:b/>
              </w:rPr>
              <w:t>High</w:t>
            </w:r>
            <w:r w:rsidRPr="009806EB">
              <w:rPr>
                <w:rFonts w:cs="Arial"/>
              </w:rPr>
              <w:t xml:space="preserve"> – Greater than $5,000</w:t>
            </w:r>
          </w:p>
        </w:tc>
        <w:tc>
          <w:tcPr>
            <w:tcW w:w="3060" w:type="dxa"/>
          </w:tcPr>
          <w:p w14:paraId="46D44DDF" w14:textId="77777777" w:rsidR="000C5EA6" w:rsidRPr="009806EB" w:rsidRDefault="000C5EA6" w:rsidP="00D54D43">
            <w:pPr>
              <w:rPr>
                <w:rFonts w:cs="Arial"/>
              </w:rPr>
            </w:pPr>
            <w:r w:rsidRPr="009806EB">
              <w:rPr>
                <w:rFonts w:cs="Arial"/>
              </w:rPr>
              <w:t>As above (low-medium-high indicate notice requirement), additionally bailor must obtain written search result under section 170(2)(b) of the Personal Property Securities Act 2009 of the Commonwealth (online or contact centre search)</w:t>
            </w:r>
          </w:p>
        </w:tc>
        <w:tc>
          <w:tcPr>
            <w:tcW w:w="3061" w:type="dxa"/>
          </w:tcPr>
          <w:p w14:paraId="59BC499D" w14:textId="77777777" w:rsidR="000C5EA6" w:rsidRPr="009806EB" w:rsidRDefault="000C5EA6" w:rsidP="00D54D43">
            <w:pPr>
              <w:rPr>
                <w:rFonts w:cs="Arial"/>
              </w:rPr>
            </w:pPr>
            <w:r w:rsidRPr="009806EB">
              <w:rPr>
                <w:rFonts w:cs="Arial"/>
              </w:rPr>
              <w:t>As above (low-medium-high indicate disposal method)</w:t>
            </w:r>
          </w:p>
        </w:tc>
        <w:tc>
          <w:tcPr>
            <w:tcW w:w="3061" w:type="dxa"/>
          </w:tcPr>
          <w:p w14:paraId="2760F191" w14:textId="77777777" w:rsidR="000C5EA6" w:rsidRPr="009806EB" w:rsidRDefault="000C5EA6" w:rsidP="00D54D43">
            <w:pPr>
              <w:rPr>
                <w:rFonts w:cs="Arial"/>
              </w:rPr>
            </w:pPr>
            <w:r w:rsidRPr="009806EB">
              <w:rPr>
                <w:rFonts w:cs="Arial"/>
              </w:rPr>
              <w:t>As above (low-medium-high indicate retention period)</w:t>
            </w:r>
          </w:p>
        </w:tc>
      </w:tr>
      <w:tr w:rsidR="000C5EA6" w:rsidRPr="00CC04EF" w14:paraId="09664888" w14:textId="77777777" w:rsidTr="00BD3949">
        <w:trPr>
          <w:trHeight w:val="903"/>
        </w:trPr>
        <w:tc>
          <w:tcPr>
            <w:tcW w:w="3060" w:type="dxa"/>
          </w:tcPr>
          <w:p w14:paraId="5FA7F0B1" w14:textId="77777777" w:rsidR="000C5EA6" w:rsidRPr="009806EB" w:rsidRDefault="000C5EA6" w:rsidP="00D54D43">
            <w:pPr>
              <w:rPr>
                <w:rFonts w:cs="Arial"/>
              </w:rPr>
            </w:pPr>
            <w:r w:rsidRPr="009806EB">
              <w:rPr>
                <w:rFonts w:cs="Arial"/>
                <w:b/>
              </w:rPr>
              <w:t>Perishable Goods</w:t>
            </w:r>
          </w:p>
        </w:tc>
        <w:tc>
          <w:tcPr>
            <w:tcW w:w="3061" w:type="dxa"/>
          </w:tcPr>
          <w:p w14:paraId="48C9989B" w14:textId="77777777" w:rsidR="000C5EA6" w:rsidRPr="009806EB" w:rsidRDefault="000C5EA6" w:rsidP="00D54D43">
            <w:pPr>
              <w:rPr>
                <w:rFonts w:cs="Arial"/>
              </w:rPr>
            </w:pPr>
            <w:r w:rsidRPr="009806EB">
              <w:rPr>
                <w:rFonts w:cs="Arial"/>
              </w:rPr>
              <w:t>All values. Must be perishable.</w:t>
            </w:r>
          </w:p>
        </w:tc>
        <w:tc>
          <w:tcPr>
            <w:tcW w:w="3060" w:type="dxa"/>
          </w:tcPr>
          <w:p w14:paraId="78F05822" w14:textId="77777777" w:rsidR="000C5EA6" w:rsidRPr="009806EB" w:rsidRDefault="000C5EA6" w:rsidP="00D54D43">
            <w:pPr>
              <w:rPr>
                <w:rFonts w:cs="Arial"/>
              </w:rPr>
            </w:pPr>
            <w:r w:rsidRPr="009806EB">
              <w:rPr>
                <w:rFonts w:cs="Arial"/>
              </w:rPr>
              <w:t>Oral or written notice (</w:t>
            </w:r>
            <w:proofErr w:type="spellStart"/>
            <w:r w:rsidRPr="009806EB">
              <w:rPr>
                <w:rFonts w:cs="Arial"/>
              </w:rPr>
              <w:t>inc.</w:t>
            </w:r>
            <w:proofErr w:type="spellEnd"/>
            <w:r w:rsidRPr="009806EB">
              <w:rPr>
                <w:rFonts w:cs="Arial"/>
              </w:rPr>
              <w:t xml:space="preserve"> text, email or other)</w:t>
            </w:r>
          </w:p>
        </w:tc>
        <w:tc>
          <w:tcPr>
            <w:tcW w:w="3061" w:type="dxa"/>
          </w:tcPr>
          <w:p w14:paraId="37720AC9" w14:textId="77777777" w:rsidR="000C5EA6" w:rsidRPr="009806EB" w:rsidRDefault="000C5EA6" w:rsidP="00D54D43">
            <w:pPr>
              <w:rPr>
                <w:rFonts w:cs="Arial"/>
              </w:rPr>
            </w:pPr>
            <w:r w:rsidRPr="009806EB">
              <w:rPr>
                <w:rFonts w:cs="Arial"/>
              </w:rPr>
              <w:t>Any method including destruction and sale.</w:t>
            </w:r>
          </w:p>
        </w:tc>
        <w:tc>
          <w:tcPr>
            <w:tcW w:w="3061" w:type="dxa"/>
          </w:tcPr>
          <w:p w14:paraId="2D14935E" w14:textId="77777777" w:rsidR="000C5EA6" w:rsidRPr="009806EB" w:rsidRDefault="000C5EA6" w:rsidP="00D54D43">
            <w:pPr>
              <w:rPr>
                <w:rFonts w:cs="Arial"/>
              </w:rPr>
            </w:pPr>
            <w:r w:rsidRPr="009806EB">
              <w:rPr>
                <w:rFonts w:cs="Arial"/>
              </w:rPr>
              <w:t xml:space="preserve">Reasonable time to collect (dependant on urgency) </w:t>
            </w:r>
          </w:p>
        </w:tc>
      </w:tr>
    </w:tbl>
    <w:p w14:paraId="184724D8" w14:textId="26A90F40" w:rsidR="00854441" w:rsidRDefault="009806EB" w:rsidP="009806EB">
      <w:pPr>
        <w:pStyle w:val="Heading2"/>
      </w:pPr>
      <w:r>
        <w:br w:type="page"/>
      </w:r>
      <w:bookmarkStart w:id="29" w:name="_Toc1132985"/>
      <w:r w:rsidR="002D687F">
        <w:lastRenderedPageBreak/>
        <w:t>Appendix 1</w:t>
      </w:r>
      <w:bookmarkEnd w:id="29"/>
    </w:p>
    <w:tbl>
      <w:tblPr>
        <w:tblStyle w:val="TableGrid"/>
        <w:tblW w:w="15162" w:type="dxa"/>
        <w:tblLayout w:type="fixed"/>
        <w:tblLook w:val="04A0" w:firstRow="1" w:lastRow="0" w:firstColumn="1" w:lastColumn="0" w:noHBand="0" w:noVBand="1"/>
      </w:tblPr>
      <w:tblGrid>
        <w:gridCol w:w="1684"/>
        <w:gridCol w:w="1685"/>
        <w:gridCol w:w="1685"/>
        <w:gridCol w:w="1684"/>
        <w:gridCol w:w="1685"/>
        <w:gridCol w:w="1685"/>
        <w:gridCol w:w="1684"/>
        <w:gridCol w:w="1685"/>
        <w:gridCol w:w="1685"/>
      </w:tblGrid>
      <w:tr w:rsidR="003723A4" w:rsidRPr="009806EB" w14:paraId="5AECE5AA" w14:textId="77777777" w:rsidTr="00DA5FFF">
        <w:trPr>
          <w:cantSplit/>
          <w:trHeight w:val="448"/>
          <w:tblHeader/>
        </w:trPr>
        <w:tc>
          <w:tcPr>
            <w:tcW w:w="1684" w:type="dxa"/>
            <w:vAlign w:val="center"/>
          </w:tcPr>
          <w:p w14:paraId="622AA810" w14:textId="56186DD4" w:rsidR="000C5EA6" w:rsidRPr="009806EB" w:rsidRDefault="000C5EA6" w:rsidP="00D77FE0">
            <w:pPr>
              <w:tabs>
                <w:tab w:val="left" w:pos="284"/>
              </w:tabs>
              <w:jc w:val="center"/>
              <w:rPr>
                <w:b/>
              </w:rPr>
            </w:pPr>
          </w:p>
        </w:tc>
        <w:tc>
          <w:tcPr>
            <w:tcW w:w="1685" w:type="dxa"/>
            <w:shd w:val="clear" w:color="auto" w:fill="DFEBCE" w:themeFill="accent4" w:themeFillTint="33"/>
          </w:tcPr>
          <w:p w14:paraId="197E66E6" w14:textId="77777777" w:rsidR="000C5EA6" w:rsidRPr="009806EB" w:rsidRDefault="000C5EA6" w:rsidP="00D77FE0">
            <w:pPr>
              <w:tabs>
                <w:tab w:val="left" w:pos="284"/>
              </w:tabs>
              <w:jc w:val="center"/>
              <w:rPr>
                <w:b/>
              </w:rPr>
            </w:pPr>
            <w:r w:rsidRPr="009806EB">
              <w:rPr>
                <w:b/>
              </w:rPr>
              <w:t>NSW</w:t>
            </w:r>
          </w:p>
        </w:tc>
        <w:tc>
          <w:tcPr>
            <w:tcW w:w="1685" w:type="dxa"/>
            <w:shd w:val="clear" w:color="auto" w:fill="F8E2CF" w:themeFill="accent2" w:themeFillTint="33"/>
          </w:tcPr>
          <w:p w14:paraId="213E4D6A" w14:textId="77777777" w:rsidR="000C5EA6" w:rsidRPr="009806EB" w:rsidRDefault="000C5EA6" w:rsidP="00D77FE0">
            <w:pPr>
              <w:tabs>
                <w:tab w:val="left" w:pos="284"/>
              </w:tabs>
              <w:jc w:val="center"/>
              <w:rPr>
                <w:b/>
              </w:rPr>
            </w:pPr>
            <w:r w:rsidRPr="009806EB">
              <w:rPr>
                <w:b/>
              </w:rPr>
              <w:t>Vic</w:t>
            </w:r>
          </w:p>
        </w:tc>
        <w:tc>
          <w:tcPr>
            <w:tcW w:w="1684" w:type="dxa"/>
            <w:shd w:val="clear" w:color="auto" w:fill="C0E4F7" w:themeFill="accent5" w:themeFillTint="33"/>
          </w:tcPr>
          <w:p w14:paraId="6E2C9666" w14:textId="77777777" w:rsidR="000C5EA6" w:rsidRPr="009806EB" w:rsidRDefault="000C5EA6" w:rsidP="00D77FE0">
            <w:pPr>
              <w:tabs>
                <w:tab w:val="left" w:pos="284"/>
              </w:tabs>
              <w:jc w:val="center"/>
              <w:rPr>
                <w:b/>
              </w:rPr>
            </w:pPr>
            <w:r w:rsidRPr="009806EB">
              <w:rPr>
                <w:b/>
              </w:rPr>
              <w:t>SA</w:t>
            </w:r>
          </w:p>
        </w:tc>
        <w:tc>
          <w:tcPr>
            <w:tcW w:w="1685" w:type="dxa"/>
            <w:shd w:val="clear" w:color="auto" w:fill="FFCC99"/>
          </w:tcPr>
          <w:p w14:paraId="3F92BE6A" w14:textId="77777777" w:rsidR="000C5EA6" w:rsidRPr="009806EB" w:rsidRDefault="000C5EA6" w:rsidP="00D77FE0">
            <w:pPr>
              <w:tabs>
                <w:tab w:val="left" w:pos="284"/>
              </w:tabs>
              <w:jc w:val="center"/>
              <w:rPr>
                <w:b/>
              </w:rPr>
            </w:pPr>
            <w:r w:rsidRPr="009806EB">
              <w:rPr>
                <w:b/>
              </w:rPr>
              <w:t>WA</w:t>
            </w:r>
          </w:p>
        </w:tc>
        <w:tc>
          <w:tcPr>
            <w:tcW w:w="1685" w:type="dxa"/>
            <w:shd w:val="clear" w:color="auto" w:fill="FF9999"/>
          </w:tcPr>
          <w:p w14:paraId="7B9FCFFB" w14:textId="77777777" w:rsidR="000C5EA6" w:rsidRPr="009806EB" w:rsidRDefault="000C5EA6" w:rsidP="00D77FE0">
            <w:pPr>
              <w:tabs>
                <w:tab w:val="left" w:pos="284"/>
              </w:tabs>
              <w:jc w:val="center"/>
              <w:rPr>
                <w:b/>
              </w:rPr>
            </w:pPr>
            <w:r w:rsidRPr="009806EB">
              <w:rPr>
                <w:b/>
              </w:rPr>
              <w:t>ACT</w:t>
            </w:r>
          </w:p>
        </w:tc>
        <w:tc>
          <w:tcPr>
            <w:tcW w:w="1684" w:type="dxa"/>
            <w:shd w:val="clear" w:color="auto" w:fill="E0C1ED" w:themeFill="text2" w:themeFillTint="33"/>
          </w:tcPr>
          <w:p w14:paraId="3CFACA78" w14:textId="77777777" w:rsidR="000C5EA6" w:rsidRPr="009806EB" w:rsidRDefault="000C5EA6" w:rsidP="00D77FE0">
            <w:pPr>
              <w:tabs>
                <w:tab w:val="left" w:pos="284"/>
              </w:tabs>
              <w:jc w:val="center"/>
              <w:rPr>
                <w:b/>
              </w:rPr>
            </w:pPr>
            <w:r w:rsidRPr="009806EB">
              <w:rPr>
                <w:b/>
              </w:rPr>
              <w:t>Qld</w:t>
            </w:r>
          </w:p>
        </w:tc>
        <w:tc>
          <w:tcPr>
            <w:tcW w:w="1685" w:type="dxa"/>
            <w:shd w:val="clear" w:color="auto" w:fill="FFFFCC"/>
          </w:tcPr>
          <w:p w14:paraId="7C3621DA" w14:textId="77777777" w:rsidR="000C5EA6" w:rsidRPr="009806EB" w:rsidRDefault="000C5EA6" w:rsidP="00D77FE0">
            <w:pPr>
              <w:tabs>
                <w:tab w:val="left" w:pos="284"/>
              </w:tabs>
              <w:jc w:val="center"/>
              <w:rPr>
                <w:b/>
              </w:rPr>
            </w:pPr>
            <w:proofErr w:type="spellStart"/>
            <w:r w:rsidRPr="009806EB">
              <w:rPr>
                <w:b/>
              </w:rPr>
              <w:t>Tas</w:t>
            </w:r>
            <w:proofErr w:type="spellEnd"/>
          </w:p>
        </w:tc>
        <w:tc>
          <w:tcPr>
            <w:tcW w:w="1685" w:type="dxa"/>
            <w:shd w:val="clear" w:color="auto" w:fill="D9D9D9" w:themeFill="background1" w:themeFillShade="D9"/>
          </w:tcPr>
          <w:p w14:paraId="43BD943E" w14:textId="77777777" w:rsidR="000C5EA6" w:rsidRPr="009806EB" w:rsidRDefault="000C5EA6" w:rsidP="00D77FE0">
            <w:pPr>
              <w:tabs>
                <w:tab w:val="left" w:pos="284"/>
              </w:tabs>
              <w:jc w:val="center"/>
              <w:rPr>
                <w:b/>
              </w:rPr>
            </w:pPr>
            <w:r w:rsidRPr="009806EB">
              <w:rPr>
                <w:b/>
              </w:rPr>
              <w:t>NT</w:t>
            </w:r>
          </w:p>
        </w:tc>
      </w:tr>
      <w:tr w:rsidR="003723A4" w:rsidRPr="009806EB" w14:paraId="68397A42" w14:textId="77777777" w:rsidTr="00DA5FFF">
        <w:trPr>
          <w:cantSplit/>
        </w:trPr>
        <w:tc>
          <w:tcPr>
            <w:tcW w:w="1684" w:type="dxa"/>
          </w:tcPr>
          <w:p w14:paraId="4DDFC2D4" w14:textId="77777777" w:rsidR="000C5EA6" w:rsidRPr="009806EB" w:rsidRDefault="000C5EA6" w:rsidP="00D77FE0">
            <w:pPr>
              <w:pStyle w:val="OutlineNumbered1"/>
              <w:numPr>
                <w:ilvl w:val="0"/>
                <w:numId w:val="0"/>
              </w:numPr>
              <w:tabs>
                <w:tab w:val="left" w:pos="284"/>
              </w:tabs>
              <w:ind w:left="34"/>
            </w:pPr>
            <w:r w:rsidRPr="009806EB">
              <w:t>Agency Responsible</w:t>
            </w:r>
          </w:p>
        </w:tc>
        <w:tc>
          <w:tcPr>
            <w:tcW w:w="1685" w:type="dxa"/>
            <w:shd w:val="clear" w:color="auto" w:fill="DFEBCE" w:themeFill="accent4" w:themeFillTint="33"/>
          </w:tcPr>
          <w:p w14:paraId="1C42261F" w14:textId="77777777" w:rsidR="000C5EA6" w:rsidRPr="009806EB" w:rsidRDefault="000C5EA6" w:rsidP="00D77FE0">
            <w:pPr>
              <w:tabs>
                <w:tab w:val="left" w:pos="284"/>
              </w:tabs>
            </w:pPr>
            <w:r w:rsidRPr="009806EB">
              <w:t>NSW Fair Trading within the Department of Finance, Services and innovation</w:t>
            </w:r>
          </w:p>
        </w:tc>
        <w:tc>
          <w:tcPr>
            <w:tcW w:w="1685" w:type="dxa"/>
            <w:shd w:val="clear" w:color="auto" w:fill="F8E2CF" w:themeFill="accent2" w:themeFillTint="33"/>
          </w:tcPr>
          <w:p w14:paraId="30BD2457" w14:textId="77777777" w:rsidR="000C5EA6" w:rsidRPr="009806EB" w:rsidRDefault="000C5EA6" w:rsidP="00D77FE0">
            <w:pPr>
              <w:tabs>
                <w:tab w:val="left" w:pos="284"/>
              </w:tabs>
            </w:pPr>
            <w:r w:rsidRPr="009806EB">
              <w:t>Consumer Affairs Victoria</w:t>
            </w:r>
          </w:p>
        </w:tc>
        <w:tc>
          <w:tcPr>
            <w:tcW w:w="1684" w:type="dxa"/>
            <w:shd w:val="clear" w:color="auto" w:fill="C0E4F7" w:themeFill="accent5" w:themeFillTint="33"/>
          </w:tcPr>
          <w:p w14:paraId="6327F678" w14:textId="77777777" w:rsidR="000C5EA6" w:rsidRPr="009806EB" w:rsidRDefault="000C5EA6" w:rsidP="00D77FE0">
            <w:pPr>
              <w:tabs>
                <w:tab w:val="left" w:pos="284"/>
              </w:tabs>
            </w:pPr>
            <w:r w:rsidRPr="009806EB">
              <w:t>Attorney-General’s Department</w:t>
            </w:r>
          </w:p>
        </w:tc>
        <w:tc>
          <w:tcPr>
            <w:tcW w:w="1685" w:type="dxa"/>
            <w:shd w:val="clear" w:color="auto" w:fill="FFCC99"/>
          </w:tcPr>
          <w:p w14:paraId="0F2743C5" w14:textId="77777777" w:rsidR="000C5EA6" w:rsidRPr="009806EB" w:rsidRDefault="000C5EA6" w:rsidP="00D77FE0">
            <w:pPr>
              <w:tabs>
                <w:tab w:val="left" w:pos="284"/>
              </w:tabs>
            </w:pPr>
            <w:r w:rsidRPr="009806EB">
              <w:t xml:space="preserve">Consumer Protection within the Department of Mines, Industry Regulation and Safety </w:t>
            </w:r>
          </w:p>
        </w:tc>
        <w:tc>
          <w:tcPr>
            <w:tcW w:w="1685" w:type="dxa"/>
            <w:shd w:val="clear" w:color="auto" w:fill="FF9999"/>
          </w:tcPr>
          <w:p w14:paraId="705F9ECD" w14:textId="77777777" w:rsidR="000C5EA6" w:rsidRPr="009806EB" w:rsidRDefault="000C5EA6" w:rsidP="00D77FE0">
            <w:pPr>
              <w:tabs>
                <w:tab w:val="left" w:pos="284"/>
              </w:tabs>
            </w:pPr>
            <w:r w:rsidRPr="009806EB">
              <w:t>Office of Regulatory Services within the Department of Justice and Community Safety</w:t>
            </w:r>
          </w:p>
        </w:tc>
        <w:tc>
          <w:tcPr>
            <w:tcW w:w="1684" w:type="dxa"/>
            <w:shd w:val="clear" w:color="auto" w:fill="E0C1ED" w:themeFill="text2" w:themeFillTint="33"/>
          </w:tcPr>
          <w:p w14:paraId="1F5C0E31" w14:textId="77777777" w:rsidR="000C5EA6" w:rsidRPr="009806EB" w:rsidRDefault="000C5EA6" w:rsidP="00D77FE0">
            <w:pPr>
              <w:tabs>
                <w:tab w:val="left" w:pos="284"/>
              </w:tabs>
            </w:pPr>
            <w:r w:rsidRPr="009806EB">
              <w:t>Department of Justice and Attorney-General</w:t>
            </w:r>
          </w:p>
        </w:tc>
        <w:tc>
          <w:tcPr>
            <w:tcW w:w="1685" w:type="dxa"/>
            <w:shd w:val="clear" w:color="auto" w:fill="FFFFCC"/>
          </w:tcPr>
          <w:p w14:paraId="2999410C" w14:textId="77777777" w:rsidR="000C5EA6" w:rsidRPr="009806EB" w:rsidRDefault="000C5EA6" w:rsidP="00D77FE0">
            <w:pPr>
              <w:tabs>
                <w:tab w:val="left" w:pos="284"/>
              </w:tabs>
            </w:pPr>
            <w:r w:rsidRPr="009806EB">
              <w:t>Consumer, Building and Occupational Services within the Department of Justice</w:t>
            </w:r>
          </w:p>
        </w:tc>
        <w:tc>
          <w:tcPr>
            <w:tcW w:w="1685" w:type="dxa"/>
            <w:shd w:val="clear" w:color="auto" w:fill="D9D9D9" w:themeFill="background1" w:themeFillShade="D9"/>
          </w:tcPr>
          <w:p w14:paraId="77613BA1" w14:textId="77777777" w:rsidR="000C5EA6" w:rsidRPr="009806EB" w:rsidRDefault="000C5EA6" w:rsidP="00D77FE0">
            <w:pPr>
              <w:tabs>
                <w:tab w:val="left" w:pos="284"/>
              </w:tabs>
            </w:pPr>
            <w:r w:rsidRPr="009806EB">
              <w:t>Consumer Affairs</w:t>
            </w:r>
          </w:p>
        </w:tc>
      </w:tr>
      <w:tr w:rsidR="003723A4" w:rsidRPr="009806EB" w14:paraId="58B8DC8E" w14:textId="77777777" w:rsidTr="00DA5FFF">
        <w:trPr>
          <w:cantSplit/>
        </w:trPr>
        <w:tc>
          <w:tcPr>
            <w:tcW w:w="1684" w:type="dxa"/>
          </w:tcPr>
          <w:p w14:paraId="21839EFD" w14:textId="77777777" w:rsidR="000C5EA6" w:rsidRPr="009806EB" w:rsidRDefault="000C5EA6" w:rsidP="00D77FE0">
            <w:pPr>
              <w:pStyle w:val="OutlineNumbered1"/>
              <w:numPr>
                <w:ilvl w:val="0"/>
                <w:numId w:val="0"/>
              </w:numPr>
              <w:tabs>
                <w:tab w:val="left" w:pos="284"/>
              </w:tabs>
              <w:ind w:left="34"/>
            </w:pPr>
            <w:r w:rsidRPr="009806EB">
              <w:t xml:space="preserve">Relevant Legislation </w:t>
            </w:r>
          </w:p>
        </w:tc>
        <w:tc>
          <w:tcPr>
            <w:tcW w:w="1685" w:type="dxa"/>
            <w:shd w:val="clear" w:color="auto" w:fill="DFEBCE" w:themeFill="accent4" w:themeFillTint="33"/>
          </w:tcPr>
          <w:p w14:paraId="517721F5" w14:textId="77777777" w:rsidR="000C5EA6" w:rsidRPr="009806EB" w:rsidRDefault="000C5EA6" w:rsidP="00D77FE0">
            <w:pPr>
              <w:tabs>
                <w:tab w:val="left" w:pos="284"/>
              </w:tabs>
              <w:rPr>
                <w:i/>
              </w:rPr>
            </w:pPr>
            <w:r w:rsidRPr="009806EB">
              <w:rPr>
                <w:i/>
              </w:rPr>
              <w:t xml:space="preserve">Uncollected Goods Act 1995 </w:t>
            </w:r>
            <w:r w:rsidRPr="009806EB">
              <w:t>and</w:t>
            </w:r>
            <w:r w:rsidRPr="009806EB">
              <w:rPr>
                <w:i/>
              </w:rPr>
              <w:t xml:space="preserve"> regulation 2017</w:t>
            </w:r>
          </w:p>
        </w:tc>
        <w:tc>
          <w:tcPr>
            <w:tcW w:w="1685" w:type="dxa"/>
            <w:shd w:val="clear" w:color="auto" w:fill="F8E2CF" w:themeFill="accent2" w:themeFillTint="33"/>
          </w:tcPr>
          <w:p w14:paraId="625E9782" w14:textId="77777777" w:rsidR="000C5EA6" w:rsidRPr="009806EB" w:rsidRDefault="000C5EA6" w:rsidP="00D77FE0">
            <w:pPr>
              <w:tabs>
                <w:tab w:val="left" w:pos="284"/>
              </w:tabs>
              <w:rPr>
                <w:rFonts w:cs="Arial"/>
                <w:i/>
                <w:color w:val="000000"/>
              </w:rPr>
            </w:pPr>
            <w:r w:rsidRPr="009806EB">
              <w:rPr>
                <w:rFonts w:cs="Arial"/>
                <w:i/>
                <w:color w:val="000000"/>
              </w:rPr>
              <w:t xml:space="preserve">Australian Consumer Law and Fair Trading Act 2012 - </w:t>
            </w:r>
            <w:r w:rsidRPr="009806EB">
              <w:rPr>
                <w:rFonts w:cs="Arial"/>
                <w:color w:val="000000"/>
              </w:rPr>
              <w:t xml:space="preserve">Previously </w:t>
            </w:r>
            <w:r w:rsidRPr="009806EB">
              <w:rPr>
                <w:rFonts w:cs="Arial"/>
                <w:i/>
                <w:color w:val="000000"/>
              </w:rPr>
              <w:t>Disposal of Uncollected Goods Act 1961</w:t>
            </w:r>
          </w:p>
        </w:tc>
        <w:tc>
          <w:tcPr>
            <w:tcW w:w="1684" w:type="dxa"/>
            <w:shd w:val="clear" w:color="auto" w:fill="C0E4F7" w:themeFill="accent5" w:themeFillTint="33"/>
          </w:tcPr>
          <w:p w14:paraId="61E73875" w14:textId="77777777" w:rsidR="000C5EA6" w:rsidRPr="009806EB" w:rsidRDefault="000C5EA6" w:rsidP="00D77FE0">
            <w:pPr>
              <w:tabs>
                <w:tab w:val="left" w:pos="284"/>
              </w:tabs>
              <w:rPr>
                <w:i/>
              </w:rPr>
            </w:pPr>
            <w:r w:rsidRPr="009806EB">
              <w:rPr>
                <w:i/>
              </w:rPr>
              <w:t>Unclaimed Goods Act 1987</w:t>
            </w:r>
          </w:p>
          <w:p w14:paraId="7E6DBF5C" w14:textId="77777777" w:rsidR="000C5EA6" w:rsidRPr="009806EB" w:rsidRDefault="000C5EA6" w:rsidP="00D77FE0">
            <w:pPr>
              <w:tabs>
                <w:tab w:val="left" w:pos="284"/>
              </w:tabs>
              <w:rPr>
                <w:i/>
              </w:rPr>
            </w:pPr>
            <w:r w:rsidRPr="009806EB">
              <w:t xml:space="preserve">And </w:t>
            </w:r>
            <w:r w:rsidRPr="009806EB">
              <w:rPr>
                <w:i/>
              </w:rPr>
              <w:t>Regulations 2013</w:t>
            </w:r>
          </w:p>
        </w:tc>
        <w:tc>
          <w:tcPr>
            <w:tcW w:w="1685" w:type="dxa"/>
            <w:shd w:val="clear" w:color="auto" w:fill="FFCC99"/>
          </w:tcPr>
          <w:p w14:paraId="53532AFA" w14:textId="77777777" w:rsidR="000C5EA6" w:rsidRPr="009806EB" w:rsidRDefault="000C5EA6" w:rsidP="00D77FE0">
            <w:pPr>
              <w:tabs>
                <w:tab w:val="left" w:pos="284"/>
              </w:tabs>
              <w:rPr>
                <w:i/>
              </w:rPr>
            </w:pPr>
            <w:r w:rsidRPr="009806EB">
              <w:rPr>
                <w:i/>
              </w:rPr>
              <w:t>Disposal of Uncollected Goods Act 1970</w:t>
            </w:r>
          </w:p>
        </w:tc>
        <w:tc>
          <w:tcPr>
            <w:tcW w:w="1685" w:type="dxa"/>
            <w:shd w:val="clear" w:color="auto" w:fill="FF9999"/>
          </w:tcPr>
          <w:p w14:paraId="38A48AB8" w14:textId="77777777" w:rsidR="000C5EA6" w:rsidRPr="009806EB" w:rsidRDefault="000C5EA6" w:rsidP="00D77FE0">
            <w:pPr>
              <w:tabs>
                <w:tab w:val="left" w:pos="284"/>
              </w:tabs>
              <w:rPr>
                <w:i/>
              </w:rPr>
            </w:pPr>
            <w:r w:rsidRPr="009806EB">
              <w:rPr>
                <w:i/>
              </w:rPr>
              <w:t>Uncollected Goods Act 1996</w:t>
            </w:r>
          </w:p>
        </w:tc>
        <w:tc>
          <w:tcPr>
            <w:tcW w:w="1684" w:type="dxa"/>
            <w:shd w:val="clear" w:color="auto" w:fill="E0C1ED" w:themeFill="text2" w:themeFillTint="33"/>
          </w:tcPr>
          <w:p w14:paraId="1B6A7CC7" w14:textId="77777777" w:rsidR="000C5EA6" w:rsidRPr="009806EB" w:rsidRDefault="000C5EA6" w:rsidP="00D77FE0">
            <w:pPr>
              <w:tabs>
                <w:tab w:val="left" w:pos="284"/>
              </w:tabs>
              <w:rPr>
                <w:i/>
              </w:rPr>
            </w:pPr>
            <w:r w:rsidRPr="009806EB">
              <w:rPr>
                <w:i/>
              </w:rPr>
              <w:t>Disposal of uncollected Goods Act 1967</w:t>
            </w:r>
          </w:p>
        </w:tc>
        <w:tc>
          <w:tcPr>
            <w:tcW w:w="1685" w:type="dxa"/>
            <w:shd w:val="clear" w:color="auto" w:fill="FFFFCC"/>
          </w:tcPr>
          <w:p w14:paraId="5F41A027" w14:textId="77777777" w:rsidR="000C5EA6" w:rsidRPr="009806EB" w:rsidRDefault="000C5EA6" w:rsidP="00D77FE0">
            <w:pPr>
              <w:tabs>
                <w:tab w:val="left" w:pos="284"/>
              </w:tabs>
              <w:rPr>
                <w:i/>
              </w:rPr>
            </w:pPr>
            <w:r w:rsidRPr="009806EB">
              <w:rPr>
                <w:i/>
              </w:rPr>
              <w:t>Disposal of Uncollected Goods Act 1968</w:t>
            </w:r>
          </w:p>
        </w:tc>
        <w:tc>
          <w:tcPr>
            <w:tcW w:w="1685" w:type="dxa"/>
            <w:shd w:val="clear" w:color="auto" w:fill="D9D9D9" w:themeFill="background1" w:themeFillShade="D9"/>
          </w:tcPr>
          <w:p w14:paraId="73A9EB68" w14:textId="77777777" w:rsidR="000C5EA6" w:rsidRPr="009806EB" w:rsidRDefault="000C5EA6" w:rsidP="00D77FE0">
            <w:pPr>
              <w:tabs>
                <w:tab w:val="left" w:pos="284"/>
              </w:tabs>
              <w:rPr>
                <w:i/>
              </w:rPr>
            </w:pPr>
            <w:r w:rsidRPr="009806EB">
              <w:rPr>
                <w:i/>
              </w:rPr>
              <w:t>Uncollected Goods Act 2016</w:t>
            </w:r>
          </w:p>
        </w:tc>
      </w:tr>
      <w:tr w:rsidR="003723A4" w:rsidRPr="009806EB" w14:paraId="7DE64F21" w14:textId="77777777" w:rsidTr="00DA5FFF">
        <w:trPr>
          <w:cantSplit/>
        </w:trPr>
        <w:tc>
          <w:tcPr>
            <w:tcW w:w="1684" w:type="dxa"/>
          </w:tcPr>
          <w:p w14:paraId="5246FA3F" w14:textId="77777777" w:rsidR="000C5EA6" w:rsidRPr="009806EB" w:rsidRDefault="000C5EA6" w:rsidP="00D77FE0">
            <w:pPr>
              <w:pStyle w:val="OutlineNumbered1"/>
              <w:numPr>
                <w:ilvl w:val="0"/>
                <w:numId w:val="0"/>
              </w:numPr>
              <w:tabs>
                <w:tab w:val="left" w:pos="284"/>
              </w:tabs>
              <w:ind w:left="34"/>
            </w:pPr>
            <w:r w:rsidRPr="009806EB">
              <w:t>Relevant or Upcoming Work or Reviews</w:t>
            </w:r>
          </w:p>
        </w:tc>
        <w:tc>
          <w:tcPr>
            <w:tcW w:w="1685" w:type="dxa"/>
            <w:shd w:val="clear" w:color="auto" w:fill="DFEBCE" w:themeFill="accent4" w:themeFillTint="33"/>
          </w:tcPr>
          <w:p w14:paraId="07FB2C51" w14:textId="77777777" w:rsidR="000C5EA6" w:rsidRPr="009806EB" w:rsidRDefault="000C5EA6" w:rsidP="00D77FE0">
            <w:pPr>
              <w:tabs>
                <w:tab w:val="left" w:pos="284"/>
              </w:tabs>
            </w:pPr>
            <w:r w:rsidRPr="009806EB">
              <w:t>Regulations recently reviewed and remade in 2017</w:t>
            </w:r>
          </w:p>
        </w:tc>
        <w:tc>
          <w:tcPr>
            <w:tcW w:w="1685" w:type="dxa"/>
            <w:shd w:val="clear" w:color="auto" w:fill="F8E2CF" w:themeFill="accent2" w:themeFillTint="33"/>
          </w:tcPr>
          <w:p w14:paraId="49DFC258" w14:textId="77777777" w:rsidR="000C5EA6" w:rsidRPr="009806EB" w:rsidRDefault="000C5EA6" w:rsidP="00D77FE0">
            <w:pPr>
              <w:tabs>
                <w:tab w:val="left" w:pos="284"/>
              </w:tabs>
            </w:pPr>
            <w:r w:rsidRPr="009806EB">
              <w:t>Nil</w:t>
            </w:r>
          </w:p>
        </w:tc>
        <w:tc>
          <w:tcPr>
            <w:tcW w:w="1684" w:type="dxa"/>
            <w:shd w:val="clear" w:color="auto" w:fill="C0E4F7" w:themeFill="accent5" w:themeFillTint="33"/>
          </w:tcPr>
          <w:p w14:paraId="025F8A68" w14:textId="77777777" w:rsidR="000C5EA6" w:rsidRPr="009806EB" w:rsidRDefault="000C5EA6" w:rsidP="00D77FE0">
            <w:pPr>
              <w:tabs>
                <w:tab w:val="left" w:pos="284"/>
              </w:tabs>
            </w:pPr>
            <w:r w:rsidRPr="009806EB">
              <w:t xml:space="preserve">Regulations reviewed and remade in 2013 (major changes; to redefine classification of values, and provide standard notice forms for </w:t>
            </w:r>
            <w:proofErr w:type="spellStart"/>
            <w:r w:rsidRPr="009806EB">
              <w:t>bailees</w:t>
            </w:r>
            <w:proofErr w:type="spellEnd"/>
            <w:r w:rsidRPr="009806EB">
              <w:t>)</w:t>
            </w:r>
          </w:p>
          <w:p w14:paraId="282F762C" w14:textId="0F2465BC" w:rsidR="00C619DA" w:rsidRPr="009806EB" w:rsidRDefault="00C619DA" w:rsidP="00D77FE0">
            <w:pPr>
              <w:tabs>
                <w:tab w:val="left" w:pos="284"/>
              </w:tabs>
            </w:pPr>
          </w:p>
        </w:tc>
        <w:tc>
          <w:tcPr>
            <w:tcW w:w="1685" w:type="dxa"/>
            <w:shd w:val="clear" w:color="auto" w:fill="FFCC99"/>
          </w:tcPr>
          <w:p w14:paraId="3FD54569" w14:textId="77777777" w:rsidR="000C5EA6" w:rsidRPr="009806EB" w:rsidRDefault="000C5EA6" w:rsidP="00D77FE0">
            <w:pPr>
              <w:tabs>
                <w:tab w:val="left" w:pos="284"/>
              </w:tabs>
            </w:pPr>
            <w:r w:rsidRPr="009806EB">
              <w:t>Regulations recently reviewed and remade in 2017</w:t>
            </w:r>
          </w:p>
        </w:tc>
        <w:tc>
          <w:tcPr>
            <w:tcW w:w="1685" w:type="dxa"/>
            <w:shd w:val="clear" w:color="auto" w:fill="FF9999"/>
          </w:tcPr>
          <w:p w14:paraId="73D4954C" w14:textId="77777777" w:rsidR="000C5EA6" w:rsidRPr="009806EB" w:rsidRDefault="000C5EA6" w:rsidP="00D77FE0">
            <w:pPr>
              <w:tabs>
                <w:tab w:val="left" w:pos="284"/>
              </w:tabs>
            </w:pPr>
            <w:r w:rsidRPr="009806EB">
              <w:t>Amendments made to act in  2017</w:t>
            </w:r>
          </w:p>
        </w:tc>
        <w:tc>
          <w:tcPr>
            <w:tcW w:w="1684" w:type="dxa"/>
            <w:shd w:val="clear" w:color="auto" w:fill="E0C1ED" w:themeFill="text2" w:themeFillTint="33"/>
          </w:tcPr>
          <w:p w14:paraId="3D7081BD" w14:textId="77777777" w:rsidR="000C5EA6" w:rsidRPr="009806EB" w:rsidRDefault="000C5EA6" w:rsidP="00D77FE0">
            <w:pPr>
              <w:tabs>
                <w:tab w:val="left" w:pos="284"/>
              </w:tabs>
            </w:pPr>
            <w:r w:rsidRPr="009806EB">
              <w:t>Nil</w:t>
            </w:r>
          </w:p>
        </w:tc>
        <w:tc>
          <w:tcPr>
            <w:tcW w:w="1685" w:type="dxa"/>
            <w:shd w:val="clear" w:color="auto" w:fill="FFFFCC"/>
          </w:tcPr>
          <w:p w14:paraId="202E16B0" w14:textId="77777777" w:rsidR="000C5EA6" w:rsidRPr="009806EB" w:rsidRDefault="000C5EA6" w:rsidP="00D77FE0">
            <w:pPr>
              <w:tabs>
                <w:tab w:val="left" w:pos="284"/>
              </w:tabs>
            </w:pPr>
            <w:r w:rsidRPr="009806EB">
              <w:t>Due for review in 2018</w:t>
            </w:r>
          </w:p>
        </w:tc>
        <w:tc>
          <w:tcPr>
            <w:tcW w:w="1685" w:type="dxa"/>
            <w:shd w:val="clear" w:color="auto" w:fill="D9D9D9" w:themeFill="background1" w:themeFillShade="D9"/>
          </w:tcPr>
          <w:p w14:paraId="23292E6A" w14:textId="77777777" w:rsidR="000C5EA6" w:rsidRPr="009806EB" w:rsidRDefault="000C5EA6" w:rsidP="00D77FE0">
            <w:pPr>
              <w:tabs>
                <w:tab w:val="left" w:pos="284"/>
              </w:tabs>
            </w:pPr>
            <w:r w:rsidRPr="009806EB">
              <w:t>New act created in 2016</w:t>
            </w:r>
          </w:p>
        </w:tc>
      </w:tr>
      <w:tr w:rsidR="003723A4" w:rsidRPr="009806EB" w14:paraId="60F373D3" w14:textId="77777777" w:rsidTr="00DA5FFF">
        <w:trPr>
          <w:cantSplit/>
        </w:trPr>
        <w:tc>
          <w:tcPr>
            <w:tcW w:w="1684" w:type="dxa"/>
          </w:tcPr>
          <w:p w14:paraId="6A50A124" w14:textId="77777777" w:rsidR="000C5EA6" w:rsidRPr="009806EB" w:rsidRDefault="000C5EA6" w:rsidP="00D77FE0">
            <w:pPr>
              <w:pStyle w:val="OutlineNumbered1"/>
              <w:numPr>
                <w:ilvl w:val="0"/>
                <w:numId w:val="0"/>
              </w:numPr>
              <w:tabs>
                <w:tab w:val="left" w:pos="284"/>
              </w:tabs>
              <w:ind w:left="34"/>
            </w:pPr>
            <w:r w:rsidRPr="009806EB">
              <w:lastRenderedPageBreak/>
              <w:t>Classification of Value of Goods</w:t>
            </w:r>
          </w:p>
        </w:tc>
        <w:tc>
          <w:tcPr>
            <w:tcW w:w="1685" w:type="dxa"/>
            <w:shd w:val="clear" w:color="auto" w:fill="DFEBCE" w:themeFill="accent4" w:themeFillTint="33"/>
          </w:tcPr>
          <w:p w14:paraId="3242C00A" w14:textId="77777777" w:rsidR="000C5EA6" w:rsidRPr="009806EB" w:rsidRDefault="000C5EA6" w:rsidP="00D77FE0">
            <w:pPr>
              <w:pStyle w:val="ListParagraph"/>
              <w:numPr>
                <w:ilvl w:val="0"/>
                <w:numId w:val="28"/>
              </w:numPr>
              <w:tabs>
                <w:tab w:val="left" w:pos="284"/>
              </w:tabs>
              <w:ind w:left="357" w:hanging="357"/>
            </w:pPr>
            <w:r w:rsidRPr="009806EB">
              <w:t>Less than $100</w:t>
            </w:r>
          </w:p>
          <w:p w14:paraId="45CE10EE" w14:textId="77777777" w:rsidR="000C5EA6" w:rsidRPr="009806EB" w:rsidRDefault="000C5EA6" w:rsidP="00D77FE0">
            <w:pPr>
              <w:pStyle w:val="ListParagraph"/>
              <w:numPr>
                <w:ilvl w:val="0"/>
                <w:numId w:val="28"/>
              </w:numPr>
              <w:tabs>
                <w:tab w:val="left" w:pos="284"/>
              </w:tabs>
              <w:ind w:left="357" w:hanging="357"/>
            </w:pPr>
            <w:r w:rsidRPr="009806EB">
              <w:t>Between $100 and $500</w:t>
            </w:r>
          </w:p>
          <w:p w14:paraId="0D6C5760" w14:textId="77777777" w:rsidR="000C5EA6" w:rsidRPr="009806EB" w:rsidRDefault="000C5EA6" w:rsidP="00D77FE0">
            <w:pPr>
              <w:pStyle w:val="ListParagraph"/>
              <w:numPr>
                <w:ilvl w:val="0"/>
                <w:numId w:val="28"/>
              </w:numPr>
              <w:tabs>
                <w:tab w:val="left" w:pos="284"/>
              </w:tabs>
              <w:ind w:left="357" w:hanging="357"/>
            </w:pPr>
            <w:r w:rsidRPr="009806EB">
              <w:t>Between $500 and $5,000</w:t>
            </w:r>
          </w:p>
          <w:p w14:paraId="1060BA58" w14:textId="77777777" w:rsidR="000C5EA6" w:rsidRPr="009806EB" w:rsidRDefault="000C5EA6" w:rsidP="00D77FE0">
            <w:pPr>
              <w:pStyle w:val="ListParagraph"/>
              <w:numPr>
                <w:ilvl w:val="0"/>
                <w:numId w:val="28"/>
              </w:numPr>
              <w:tabs>
                <w:tab w:val="left" w:pos="284"/>
              </w:tabs>
              <w:ind w:left="357" w:hanging="357"/>
            </w:pPr>
            <w:r w:rsidRPr="009806EB">
              <w:t>Over $5,000</w:t>
            </w:r>
          </w:p>
        </w:tc>
        <w:tc>
          <w:tcPr>
            <w:tcW w:w="1685" w:type="dxa"/>
            <w:shd w:val="clear" w:color="auto" w:fill="F8E2CF" w:themeFill="accent2" w:themeFillTint="33"/>
          </w:tcPr>
          <w:p w14:paraId="69D98BD9" w14:textId="77777777" w:rsidR="000C5EA6" w:rsidRPr="009806EB" w:rsidRDefault="000C5EA6" w:rsidP="00D77FE0">
            <w:pPr>
              <w:pStyle w:val="ListParagraph"/>
              <w:numPr>
                <w:ilvl w:val="0"/>
                <w:numId w:val="28"/>
              </w:numPr>
              <w:tabs>
                <w:tab w:val="left" w:pos="284"/>
              </w:tabs>
              <w:ind w:left="357" w:hanging="357"/>
            </w:pPr>
            <w:r w:rsidRPr="009806EB">
              <w:t>Less than $200</w:t>
            </w:r>
          </w:p>
          <w:p w14:paraId="59D6E16B" w14:textId="77777777" w:rsidR="000C5EA6" w:rsidRPr="009806EB" w:rsidRDefault="000C5EA6" w:rsidP="00D77FE0">
            <w:pPr>
              <w:pStyle w:val="ListParagraph"/>
              <w:numPr>
                <w:ilvl w:val="0"/>
                <w:numId w:val="28"/>
              </w:numPr>
              <w:tabs>
                <w:tab w:val="left" w:pos="284"/>
              </w:tabs>
              <w:ind w:left="357" w:hanging="357"/>
            </w:pPr>
            <w:r w:rsidRPr="009806EB">
              <w:t>Between $200 and $5,000</w:t>
            </w:r>
          </w:p>
          <w:p w14:paraId="23929AB1" w14:textId="77777777" w:rsidR="000C5EA6" w:rsidRPr="009806EB" w:rsidRDefault="000C5EA6" w:rsidP="00D77FE0">
            <w:pPr>
              <w:pStyle w:val="ListParagraph"/>
              <w:numPr>
                <w:ilvl w:val="0"/>
                <w:numId w:val="28"/>
              </w:numPr>
              <w:tabs>
                <w:tab w:val="left" w:pos="284"/>
              </w:tabs>
              <w:ind w:left="357" w:hanging="357"/>
            </w:pPr>
            <w:r w:rsidRPr="009806EB">
              <w:t>Over $5,000</w:t>
            </w:r>
          </w:p>
        </w:tc>
        <w:tc>
          <w:tcPr>
            <w:tcW w:w="1684" w:type="dxa"/>
            <w:shd w:val="clear" w:color="auto" w:fill="C0E4F7" w:themeFill="accent5" w:themeFillTint="33"/>
          </w:tcPr>
          <w:p w14:paraId="4A454374" w14:textId="77777777" w:rsidR="000C5EA6" w:rsidRPr="009806EB" w:rsidRDefault="000C5EA6" w:rsidP="00D77FE0">
            <w:pPr>
              <w:pStyle w:val="ListParagraph"/>
              <w:numPr>
                <w:ilvl w:val="0"/>
                <w:numId w:val="28"/>
              </w:numPr>
              <w:tabs>
                <w:tab w:val="left" w:pos="284"/>
              </w:tabs>
              <w:ind w:left="357" w:hanging="357"/>
            </w:pPr>
            <w:r w:rsidRPr="009806EB">
              <w:t>Less than $500</w:t>
            </w:r>
          </w:p>
          <w:p w14:paraId="5E399A19" w14:textId="77777777" w:rsidR="000C5EA6" w:rsidRPr="009806EB" w:rsidRDefault="000C5EA6" w:rsidP="00D77FE0">
            <w:pPr>
              <w:pStyle w:val="ListParagraph"/>
              <w:numPr>
                <w:ilvl w:val="0"/>
                <w:numId w:val="28"/>
              </w:numPr>
              <w:tabs>
                <w:tab w:val="left" w:pos="284"/>
              </w:tabs>
              <w:ind w:left="357" w:hanging="357"/>
            </w:pPr>
            <w:r w:rsidRPr="009806EB">
              <w:t>Between $500 and $2,000</w:t>
            </w:r>
          </w:p>
          <w:p w14:paraId="62D98C91" w14:textId="77777777" w:rsidR="000C5EA6" w:rsidRPr="009806EB" w:rsidRDefault="000C5EA6" w:rsidP="00D77FE0">
            <w:pPr>
              <w:pStyle w:val="ListParagraph"/>
              <w:numPr>
                <w:ilvl w:val="0"/>
                <w:numId w:val="28"/>
              </w:numPr>
              <w:tabs>
                <w:tab w:val="left" w:pos="284"/>
              </w:tabs>
              <w:ind w:left="357" w:hanging="357"/>
            </w:pPr>
            <w:r w:rsidRPr="009806EB">
              <w:t>Over $2,000</w:t>
            </w:r>
          </w:p>
        </w:tc>
        <w:tc>
          <w:tcPr>
            <w:tcW w:w="1685" w:type="dxa"/>
            <w:shd w:val="clear" w:color="auto" w:fill="FFCC99"/>
          </w:tcPr>
          <w:p w14:paraId="4EF28E8F" w14:textId="77777777" w:rsidR="000C5EA6" w:rsidRPr="009806EB" w:rsidRDefault="000C5EA6" w:rsidP="00D77FE0">
            <w:pPr>
              <w:pStyle w:val="ListParagraph"/>
              <w:numPr>
                <w:ilvl w:val="0"/>
                <w:numId w:val="28"/>
              </w:numPr>
              <w:tabs>
                <w:tab w:val="left" w:pos="284"/>
              </w:tabs>
              <w:ind w:left="357" w:hanging="357"/>
            </w:pPr>
            <w:r w:rsidRPr="009806EB">
              <w:t>Less than $3,500 (not prescribed)</w:t>
            </w:r>
          </w:p>
          <w:p w14:paraId="4A53F5C4" w14:textId="77777777" w:rsidR="000C5EA6" w:rsidRPr="009806EB" w:rsidRDefault="000C5EA6" w:rsidP="00D77FE0">
            <w:pPr>
              <w:pStyle w:val="ListParagraph"/>
              <w:numPr>
                <w:ilvl w:val="0"/>
                <w:numId w:val="28"/>
              </w:numPr>
              <w:tabs>
                <w:tab w:val="left" w:pos="284"/>
              </w:tabs>
              <w:ind w:left="357" w:hanging="357"/>
            </w:pPr>
            <w:r w:rsidRPr="009806EB">
              <w:t>$3,500 or more (not prescribed)</w:t>
            </w:r>
          </w:p>
          <w:p w14:paraId="120836AC" w14:textId="7EEAD691" w:rsidR="000C5EA6" w:rsidRPr="009806EB" w:rsidRDefault="000C5EA6" w:rsidP="00D77FE0">
            <w:pPr>
              <w:pStyle w:val="ListParagraph"/>
              <w:numPr>
                <w:ilvl w:val="0"/>
                <w:numId w:val="28"/>
              </w:numPr>
              <w:tabs>
                <w:tab w:val="left" w:pos="284"/>
              </w:tabs>
              <w:ind w:left="357" w:hanging="357"/>
            </w:pPr>
            <w:r w:rsidRPr="009806EB">
              <w:t xml:space="preserve">Prescribed goods (see </w:t>
            </w:r>
            <w:hyperlink r:id="rId22" w:history="1">
              <w:r w:rsidRPr="009806EB">
                <w:rPr>
                  <w:rStyle w:val="Hyperlink"/>
                </w:rPr>
                <w:t>list</w:t>
              </w:r>
            </w:hyperlink>
            <w:r w:rsidR="0020110C" w:rsidRPr="009806EB">
              <w:t>)</w:t>
            </w:r>
            <w:r w:rsidRPr="009806EB">
              <w:t xml:space="preserve"> </w:t>
            </w:r>
          </w:p>
          <w:p w14:paraId="60262F7C" w14:textId="77777777" w:rsidR="000C5EA6" w:rsidRPr="009806EB" w:rsidRDefault="000C5EA6" w:rsidP="00D77FE0">
            <w:pPr>
              <w:tabs>
                <w:tab w:val="left" w:pos="284"/>
              </w:tabs>
              <w:ind w:left="357" w:hanging="357"/>
            </w:pPr>
          </w:p>
          <w:p w14:paraId="33F8A16F" w14:textId="77777777" w:rsidR="000C5EA6" w:rsidRPr="009806EB" w:rsidRDefault="000C5EA6" w:rsidP="00D77FE0">
            <w:pPr>
              <w:tabs>
                <w:tab w:val="left" w:pos="284"/>
              </w:tabs>
              <w:ind w:left="357" w:hanging="357"/>
            </w:pPr>
          </w:p>
        </w:tc>
        <w:tc>
          <w:tcPr>
            <w:tcW w:w="1685" w:type="dxa"/>
            <w:shd w:val="clear" w:color="auto" w:fill="FF9999"/>
          </w:tcPr>
          <w:p w14:paraId="6455DCB0" w14:textId="77777777" w:rsidR="000C5EA6" w:rsidRPr="009806EB" w:rsidRDefault="000C5EA6" w:rsidP="00D77FE0">
            <w:pPr>
              <w:pStyle w:val="ListParagraph"/>
              <w:numPr>
                <w:ilvl w:val="0"/>
                <w:numId w:val="28"/>
              </w:numPr>
              <w:tabs>
                <w:tab w:val="left" w:pos="284"/>
              </w:tabs>
              <w:ind w:left="357" w:hanging="357"/>
            </w:pPr>
            <w:r w:rsidRPr="009806EB">
              <w:t>Less than $20</w:t>
            </w:r>
          </w:p>
          <w:p w14:paraId="4D004313" w14:textId="77777777" w:rsidR="000C5EA6" w:rsidRPr="009806EB" w:rsidRDefault="000C5EA6" w:rsidP="00D77FE0">
            <w:pPr>
              <w:pStyle w:val="ListParagraph"/>
              <w:numPr>
                <w:ilvl w:val="0"/>
                <w:numId w:val="28"/>
              </w:numPr>
              <w:tabs>
                <w:tab w:val="left" w:pos="284"/>
              </w:tabs>
              <w:ind w:left="357" w:hanging="357"/>
            </w:pPr>
            <w:r w:rsidRPr="009806EB">
              <w:t>Between $20 and $500</w:t>
            </w:r>
          </w:p>
          <w:p w14:paraId="1E1A0267" w14:textId="77777777" w:rsidR="000C5EA6" w:rsidRPr="009806EB" w:rsidRDefault="000C5EA6" w:rsidP="00D77FE0">
            <w:pPr>
              <w:pStyle w:val="ListParagraph"/>
              <w:numPr>
                <w:ilvl w:val="0"/>
                <w:numId w:val="28"/>
              </w:numPr>
              <w:tabs>
                <w:tab w:val="left" w:pos="284"/>
              </w:tabs>
              <w:ind w:left="357" w:hanging="357"/>
            </w:pPr>
            <w:r w:rsidRPr="009806EB">
              <w:t>Over $500</w:t>
            </w:r>
          </w:p>
        </w:tc>
        <w:tc>
          <w:tcPr>
            <w:tcW w:w="1684" w:type="dxa"/>
            <w:shd w:val="clear" w:color="auto" w:fill="E0C1ED" w:themeFill="text2" w:themeFillTint="33"/>
          </w:tcPr>
          <w:p w14:paraId="66DADC5E" w14:textId="77777777" w:rsidR="000C5EA6" w:rsidRPr="009806EB" w:rsidRDefault="000C5EA6" w:rsidP="00D77FE0">
            <w:pPr>
              <w:pStyle w:val="ListParagraph"/>
              <w:numPr>
                <w:ilvl w:val="0"/>
                <w:numId w:val="28"/>
              </w:numPr>
              <w:tabs>
                <w:tab w:val="left" w:pos="284"/>
              </w:tabs>
              <w:ind w:left="357" w:hanging="357"/>
            </w:pPr>
            <w:r w:rsidRPr="009806EB">
              <w:t>All values receive the same classification</w:t>
            </w:r>
          </w:p>
        </w:tc>
        <w:tc>
          <w:tcPr>
            <w:tcW w:w="1685" w:type="dxa"/>
            <w:shd w:val="clear" w:color="auto" w:fill="FFFFCC"/>
          </w:tcPr>
          <w:p w14:paraId="7544EFC4" w14:textId="77777777" w:rsidR="000C5EA6" w:rsidRPr="009806EB" w:rsidRDefault="000C5EA6" w:rsidP="00D77FE0">
            <w:pPr>
              <w:pStyle w:val="ListParagraph"/>
              <w:numPr>
                <w:ilvl w:val="0"/>
                <w:numId w:val="28"/>
              </w:numPr>
              <w:tabs>
                <w:tab w:val="left" w:pos="284"/>
              </w:tabs>
              <w:ind w:left="357" w:hanging="357"/>
            </w:pPr>
            <w:r w:rsidRPr="009806EB">
              <w:t>All values receive the same classification</w:t>
            </w:r>
          </w:p>
        </w:tc>
        <w:tc>
          <w:tcPr>
            <w:tcW w:w="1685" w:type="dxa"/>
            <w:shd w:val="clear" w:color="auto" w:fill="D9D9D9" w:themeFill="background1" w:themeFillShade="D9"/>
          </w:tcPr>
          <w:p w14:paraId="70AF2870" w14:textId="77777777" w:rsidR="000C5EA6" w:rsidRPr="009806EB" w:rsidRDefault="000C5EA6" w:rsidP="00D77FE0">
            <w:pPr>
              <w:pStyle w:val="ListParagraph"/>
              <w:numPr>
                <w:ilvl w:val="0"/>
                <w:numId w:val="28"/>
              </w:numPr>
              <w:tabs>
                <w:tab w:val="left" w:pos="284"/>
              </w:tabs>
              <w:ind w:left="357" w:hanging="357"/>
            </w:pPr>
            <w:r w:rsidRPr="009806EB">
              <w:t>Less than $200</w:t>
            </w:r>
          </w:p>
          <w:p w14:paraId="0AAF42CF" w14:textId="77777777" w:rsidR="000C5EA6" w:rsidRPr="009806EB" w:rsidRDefault="000C5EA6" w:rsidP="00D77FE0">
            <w:pPr>
              <w:pStyle w:val="ListParagraph"/>
              <w:numPr>
                <w:ilvl w:val="0"/>
                <w:numId w:val="28"/>
              </w:numPr>
              <w:tabs>
                <w:tab w:val="left" w:pos="284"/>
              </w:tabs>
              <w:ind w:left="357" w:hanging="357"/>
            </w:pPr>
            <w:r w:rsidRPr="009806EB">
              <w:t>Between $200 and $1,000</w:t>
            </w:r>
          </w:p>
          <w:p w14:paraId="00A2A4E4" w14:textId="77777777" w:rsidR="000C5EA6" w:rsidRPr="009806EB" w:rsidRDefault="000C5EA6" w:rsidP="00D77FE0">
            <w:pPr>
              <w:pStyle w:val="ListParagraph"/>
              <w:numPr>
                <w:ilvl w:val="0"/>
                <w:numId w:val="28"/>
              </w:numPr>
              <w:tabs>
                <w:tab w:val="left" w:pos="284"/>
              </w:tabs>
              <w:ind w:left="357" w:hanging="357"/>
            </w:pPr>
            <w:r w:rsidRPr="009806EB">
              <w:t>Between $1,00 and $7,000</w:t>
            </w:r>
          </w:p>
          <w:p w14:paraId="7A9C8050" w14:textId="77777777" w:rsidR="000C5EA6" w:rsidRPr="009806EB" w:rsidRDefault="000C5EA6" w:rsidP="00D77FE0">
            <w:pPr>
              <w:pStyle w:val="ListParagraph"/>
              <w:numPr>
                <w:ilvl w:val="0"/>
                <w:numId w:val="28"/>
              </w:numPr>
              <w:tabs>
                <w:tab w:val="left" w:pos="284"/>
              </w:tabs>
              <w:ind w:left="357" w:hanging="357"/>
            </w:pPr>
            <w:r w:rsidRPr="009806EB">
              <w:t>Over $7,000</w:t>
            </w:r>
          </w:p>
        </w:tc>
      </w:tr>
      <w:tr w:rsidR="003723A4" w:rsidRPr="009806EB" w14:paraId="74C0C2A1" w14:textId="77777777" w:rsidTr="00DA5FFF">
        <w:tc>
          <w:tcPr>
            <w:tcW w:w="1684" w:type="dxa"/>
          </w:tcPr>
          <w:p w14:paraId="3D4E88FF" w14:textId="77777777" w:rsidR="000C5EA6" w:rsidRPr="009806EB" w:rsidRDefault="000C5EA6" w:rsidP="00D77FE0">
            <w:pPr>
              <w:pStyle w:val="OutlineNumbered1"/>
              <w:numPr>
                <w:ilvl w:val="0"/>
                <w:numId w:val="0"/>
              </w:numPr>
              <w:tabs>
                <w:tab w:val="left" w:pos="284"/>
              </w:tabs>
              <w:ind w:left="34"/>
            </w:pPr>
            <w:r w:rsidRPr="009806EB">
              <w:t>Notice of Intention to Dispose (by classification of value as above, notice of intention to dispose forms available from state/territory webpages)</w:t>
            </w:r>
          </w:p>
          <w:p w14:paraId="08EA7196" w14:textId="77777777" w:rsidR="000C5EA6" w:rsidRPr="009806EB" w:rsidRDefault="000C5EA6" w:rsidP="00D77FE0">
            <w:pPr>
              <w:pStyle w:val="OutlineNumbered1"/>
              <w:numPr>
                <w:ilvl w:val="0"/>
                <w:numId w:val="0"/>
              </w:numPr>
              <w:tabs>
                <w:tab w:val="left" w:pos="284"/>
              </w:tabs>
              <w:ind w:left="34"/>
            </w:pPr>
          </w:p>
          <w:p w14:paraId="25143DE4" w14:textId="77777777" w:rsidR="000C5EA6" w:rsidRPr="009806EB" w:rsidRDefault="000C5EA6" w:rsidP="00D77FE0">
            <w:pPr>
              <w:pStyle w:val="OutlineNumbered1"/>
              <w:numPr>
                <w:ilvl w:val="0"/>
                <w:numId w:val="0"/>
              </w:numPr>
              <w:tabs>
                <w:tab w:val="left" w:pos="284"/>
              </w:tabs>
              <w:ind w:left="34"/>
            </w:pPr>
          </w:p>
          <w:p w14:paraId="149728BA" w14:textId="77777777" w:rsidR="000C5EA6" w:rsidRPr="009806EB" w:rsidRDefault="000C5EA6" w:rsidP="00D77FE0">
            <w:pPr>
              <w:pStyle w:val="OutlineNumbered1"/>
              <w:numPr>
                <w:ilvl w:val="0"/>
                <w:numId w:val="0"/>
              </w:numPr>
              <w:tabs>
                <w:tab w:val="left" w:pos="284"/>
              </w:tabs>
              <w:ind w:left="34"/>
            </w:pPr>
          </w:p>
          <w:p w14:paraId="06021355" w14:textId="77777777" w:rsidR="000C5EA6" w:rsidRPr="009806EB" w:rsidRDefault="000C5EA6" w:rsidP="00D77FE0">
            <w:pPr>
              <w:pStyle w:val="OutlineNumbered1"/>
              <w:numPr>
                <w:ilvl w:val="0"/>
                <w:numId w:val="0"/>
              </w:numPr>
              <w:tabs>
                <w:tab w:val="left" w:pos="284"/>
              </w:tabs>
              <w:ind w:left="34"/>
            </w:pPr>
          </w:p>
          <w:p w14:paraId="18AC5A5B" w14:textId="77777777" w:rsidR="000C5EA6" w:rsidRPr="009806EB" w:rsidRDefault="000C5EA6" w:rsidP="00D77FE0">
            <w:pPr>
              <w:pStyle w:val="OutlineNumbered1"/>
              <w:numPr>
                <w:ilvl w:val="0"/>
                <w:numId w:val="0"/>
              </w:numPr>
              <w:tabs>
                <w:tab w:val="left" w:pos="284"/>
              </w:tabs>
              <w:ind w:left="34"/>
            </w:pPr>
          </w:p>
          <w:p w14:paraId="34E26165" w14:textId="240C724A" w:rsidR="000C5EA6" w:rsidRPr="009806EB" w:rsidRDefault="000C5EA6" w:rsidP="00E857C0">
            <w:pPr>
              <w:pStyle w:val="OutlineNumbered1"/>
              <w:numPr>
                <w:ilvl w:val="0"/>
                <w:numId w:val="0"/>
              </w:numPr>
              <w:tabs>
                <w:tab w:val="left" w:pos="284"/>
              </w:tabs>
              <w:ind w:left="38"/>
            </w:pPr>
          </w:p>
        </w:tc>
        <w:tc>
          <w:tcPr>
            <w:tcW w:w="1685" w:type="dxa"/>
            <w:shd w:val="clear" w:color="auto" w:fill="DFEBCE" w:themeFill="accent4" w:themeFillTint="33"/>
          </w:tcPr>
          <w:p w14:paraId="6BBF381B" w14:textId="77777777" w:rsidR="000C5EA6" w:rsidRPr="009806EB" w:rsidRDefault="000C5EA6" w:rsidP="00D77FE0">
            <w:pPr>
              <w:pStyle w:val="ListParagraph"/>
              <w:numPr>
                <w:ilvl w:val="0"/>
                <w:numId w:val="28"/>
              </w:numPr>
              <w:tabs>
                <w:tab w:val="left" w:pos="284"/>
              </w:tabs>
              <w:ind w:left="357" w:hanging="357"/>
            </w:pPr>
            <w:r w:rsidRPr="009806EB">
              <w:lastRenderedPageBreak/>
              <w:t>Verbal or written notice to the bailor</w:t>
            </w:r>
          </w:p>
          <w:p w14:paraId="21D84A8A" w14:textId="77777777" w:rsidR="000C5EA6" w:rsidRPr="009806EB" w:rsidRDefault="000C5EA6" w:rsidP="00D77FE0">
            <w:pPr>
              <w:pStyle w:val="ListParagraph"/>
              <w:numPr>
                <w:ilvl w:val="0"/>
                <w:numId w:val="28"/>
              </w:numPr>
              <w:tabs>
                <w:tab w:val="left" w:pos="284"/>
              </w:tabs>
              <w:ind w:left="357" w:hanging="357"/>
            </w:pPr>
            <w:r w:rsidRPr="009806EB">
              <w:t>Written notice to any persons claiming interest in goods</w:t>
            </w:r>
          </w:p>
          <w:p w14:paraId="01B044D0" w14:textId="77777777" w:rsidR="000C5EA6" w:rsidRPr="009806EB" w:rsidRDefault="000C5EA6" w:rsidP="00D77FE0">
            <w:pPr>
              <w:pStyle w:val="ListParagraph"/>
              <w:numPr>
                <w:ilvl w:val="0"/>
                <w:numId w:val="28"/>
              </w:numPr>
              <w:tabs>
                <w:tab w:val="left" w:pos="284"/>
              </w:tabs>
              <w:ind w:left="357" w:hanging="357"/>
            </w:pPr>
            <w:r w:rsidRPr="009806EB">
              <w:t>Written notice to any persons claiming interest in goods, and a copy of notice published in daily newspaper throughout NSW</w:t>
            </w:r>
          </w:p>
          <w:p w14:paraId="624C8746" w14:textId="77777777" w:rsidR="000C5EA6" w:rsidRPr="009806EB" w:rsidRDefault="000C5EA6" w:rsidP="00D77FE0">
            <w:pPr>
              <w:pStyle w:val="ListParagraph"/>
              <w:numPr>
                <w:ilvl w:val="0"/>
                <w:numId w:val="28"/>
              </w:numPr>
              <w:tabs>
                <w:tab w:val="left" w:pos="284"/>
              </w:tabs>
              <w:ind w:left="357" w:hanging="357"/>
            </w:pPr>
            <w:r w:rsidRPr="009806EB">
              <w:t>Court order</w:t>
            </w:r>
          </w:p>
        </w:tc>
        <w:tc>
          <w:tcPr>
            <w:tcW w:w="1685" w:type="dxa"/>
            <w:shd w:val="clear" w:color="auto" w:fill="F8E2CF" w:themeFill="accent2" w:themeFillTint="33"/>
          </w:tcPr>
          <w:p w14:paraId="2CEE6C9D" w14:textId="77777777" w:rsidR="000C5EA6" w:rsidRPr="009806EB" w:rsidRDefault="000C5EA6" w:rsidP="00D77FE0">
            <w:pPr>
              <w:pStyle w:val="ListParagraph"/>
              <w:numPr>
                <w:ilvl w:val="0"/>
                <w:numId w:val="28"/>
              </w:numPr>
              <w:tabs>
                <w:tab w:val="left" w:pos="284"/>
              </w:tabs>
              <w:ind w:left="357" w:hanging="357"/>
            </w:pPr>
            <w:r w:rsidRPr="009806EB">
              <w:t>Written notice to the bailor</w:t>
            </w:r>
          </w:p>
          <w:p w14:paraId="51C987E5" w14:textId="77777777" w:rsidR="000C5EA6" w:rsidRPr="009806EB" w:rsidRDefault="000C5EA6" w:rsidP="00D77FE0">
            <w:pPr>
              <w:pStyle w:val="ListParagraph"/>
              <w:numPr>
                <w:ilvl w:val="0"/>
                <w:numId w:val="28"/>
              </w:numPr>
              <w:tabs>
                <w:tab w:val="left" w:pos="284"/>
              </w:tabs>
              <w:ind w:left="357" w:hanging="357"/>
            </w:pPr>
            <w:r w:rsidRPr="009806EB">
              <w:t>Written notice to the bailor or registered owner of goods (if different)</w:t>
            </w:r>
          </w:p>
          <w:p w14:paraId="3B6F3342" w14:textId="77777777" w:rsidR="000C5EA6" w:rsidRPr="009806EB" w:rsidRDefault="000C5EA6" w:rsidP="00D77FE0">
            <w:pPr>
              <w:pStyle w:val="ListParagraph"/>
              <w:numPr>
                <w:ilvl w:val="0"/>
                <w:numId w:val="28"/>
              </w:numPr>
              <w:tabs>
                <w:tab w:val="left" w:pos="284"/>
              </w:tabs>
              <w:ind w:left="357" w:hanging="357"/>
            </w:pPr>
            <w:r w:rsidRPr="009806EB">
              <w:t xml:space="preserve">Written notice to the bailor, anyone who has registered an interest in the goods on the Personal Properties Securities Register, anyone the </w:t>
            </w:r>
            <w:r w:rsidRPr="009806EB">
              <w:lastRenderedPageBreak/>
              <w:t xml:space="preserve">seller is aware of who has (or claims to have) a proprietary or security interest in the goods, and the owner or registered owner of the goods (if not the bailor) </w:t>
            </w:r>
          </w:p>
        </w:tc>
        <w:tc>
          <w:tcPr>
            <w:tcW w:w="1684" w:type="dxa"/>
            <w:shd w:val="clear" w:color="auto" w:fill="C0E4F7" w:themeFill="accent5" w:themeFillTint="33"/>
          </w:tcPr>
          <w:p w14:paraId="340E475D" w14:textId="77777777" w:rsidR="000C5EA6" w:rsidRPr="009806EB" w:rsidRDefault="000C5EA6" w:rsidP="00D77FE0">
            <w:pPr>
              <w:pStyle w:val="ListParagraph"/>
              <w:numPr>
                <w:ilvl w:val="0"/>
                <w:numId w:val="28"/>
              </w:numPr>
              <w:tabs>
                <w:tab w:val="left" w:pos="284"/>
              </w:tabs>
              <w:ind w:left="357" w:hanging="357"/>
            </w:pPr>
            <w:r w:rsidRPr="009806EB">
              <w:lastRenderedPageBreak/>
              <w:t>Sold or disposed of in any manner</w:t>
            </w:r>
          </w:p>
          <w:p w14:paraId="22D49334" w14:textId="77777777" w:rsidR="000C5EA6" w:rsidRPr="009806EB" w:rsidRDefault="000C5EA6" w:rsidP="00D77FE0">
            <w:pPr>
              <w:pStyle w:val="ListParagraph"/>
              <w:numPr>
                <w:ilvl w:val="0"/>
                <w:numId w:val="28"/>
              </w:numPr>
              <w:tabs>
                <w:tab w:val="left" w:pos="284"/>
              </w:tabs>
              <w:ind w:left="357" w:hanging="357"/>
            </w:pPr>
            <w:r w:rsidRPr="009806EB">
              <w:t>Sold at public auction and notice given to commissioner of police and owner of uncollected goods</w:t>
            </w:r>
          </w:p>
          <w:p w14:paraId="501FF241" w14:textId="77777777" w:rsidR="000C5EA6" w:rsidRPr="009806EB" w:rsidRDefault="000C5EA6" w:rsidP="00D77FE0">
            <w:pPr>
              <w:pStyle w:val="ListParagraph"/>
              <w:numPr>
                <w:ilvl w:val="0"/>
                <w:numId w:val="28"/>
              </w:numPr>
              <w:tabs>
                <w:tab w:val="left" w:pos="284"/>
              </w:tabs>
              <w:ind w:left="357" w:hanging="357"/>
            </w:pPr>
            <w:r w:rsidRPr="009806EB">
              <w:t>By court order</w:t>
            </w:r>
          </w:p>
          <w:p w14:paraId="749D8293" w14:textId="77777777" w:rsidR="000C5EA6" w:rsidRPr="009806EB" w:rsidRDefault="000C5EA6" w:rsidP="00D77FE0">
            <w:pPr>
              <w:tabs>
                <w:tab w:val="left" w:pos="284"/>
              </w:tabs>
            </w:pPr>
          </w:p>
        </w:tc>
        <w:tc>
          <w:tcPr>
            <w:tcW w:w="1685" w:type="dxa"/>
            <w:shd w:val="clear" w:color="auto" w:fill="FFCC99"/>
          </w:tcPr>
          <w:p w14:paraId="59A72EDF" w14:textId="77777777" w:rsidR="000C5EA6" w:rsidRPr="009806EB" w:rsidRDefault="000C5EA6" w:rsidP="00DA5FFF">
            <w:pPr>
              <w:pStyle w:val="ListParagraph"/>
              <w:numPr>
                <w:ilvl w:val="0"/>
                <w:numId w:val="28"/>
              </w:numPr>
              <w:tabs>
                <w:tab w:val="left" w:pos="62"/>
              </w:tabs>
              <w:spacing w:before="0" w:after="0"/>
              <w:ind w:left="204" w:hanging="204"/>
              <w:contextualSpacing w:val="0"/>
            </w:pPr>
            <w:r w:rsidRPr="009806EB">
              <w:t xml:space="preserve">Reminder notice to the bailor sent, after 6 months, ‘notice of intention to sell or otherwise dispose of goods’ sent to bailor, anyone who has an interest in the goods and the Commissioner of Police, notice also published in Government Gazette, if no contact after 1 month, goods may be sold </w:t>
            </w:r>
          </w:p>
          <w:p w14:paraId="7DBE0962" w14:textId="77777777" w:rsidR="000C5EA6" w:rsidRPr="009806EB" w:rsidRDefault="000C5EA6" w:rsidP="00DA5FFF">
            <w:pPr>
              <w:pStyle w:val="ListParagraph"/>
              <w:numPr>
                <w:ilvl w:val="0"/>
                <w:numId w:val="28"/>
              </w:numPr>
              <w:tabs>
                <w:tab w:val="left" w:pos="62"/>
              </w:tabs>
              <w:spacing w:before="0" w:after="0"/>
              <w:ind w:left="204" w:hanging="204"/>
              <w:contextualSpacing w:val="0"/>
            </w:pPr>
            <w:r w:rsidRPr="009806EB">
              <w:lastRenderedPageBreak/>
              <w:t xml:space="preserve">Written notice to the bailor, after 6 months, ‘notice of intention to apply for an order or sell or otherwise dispose of goods in excess of $3,500’ sent to bailor, anyone who has an interest in the goods and the Commissioner of Police, notice published in Government Gazette, if after a further month no response application filed to Magistrates Court for an order to sell or dispose of goods (this must also be sent to bailor and anyone </w:t>
            </w:r>
            <w:r w:rsidRPr="009806EB">
              <w:lastRenderedPageBreak/>
              <w:t>with interest in goods), if cert. of service given; Affidavit completed and court notice given (must be passed on to owner of goods or anyone with interest in goods), hearing attended with witnesses, court given order to dispose</w:t>
            </w:r>
          </w:p>
          <w:p w14:paraId="7E7AF5C6" w14:textId="10C1552E" w:rsidR="00C619DA" w:rsidRPr="009806EB" w:rsidRDefault="000C5EA6" w:rsidP="00DA5FFF">
            <w:pPr>
              <w:pStyle w:val="ListParagraph"/>
              <w:numPr>
                <w:ilvl w:val="0"/>
                <w:numId w:val="28"/>
              </w:numPr>
              <w:tabs>
                <w:tab w:val="left" w:pos="62"/>
              </w:tabs>
              <w:spacing w:before="0" w:after="0"/>
              <w:ind w:left="204" w:hanging="204"/>
              <w:contextualSpacing w:val="0"/>
            </w:pPr>
            <w:r w:rsidRPr="009806EB">
              <w:t xml:space="preserve">Process for goods less than $3,500 taken </w:t>
            </w:r>
          </w:p>
        </w:tc>
        <w:tc>
          <w:tcPr>
            <w:tcW w:w="1685" w:type="dxa"/>
            <w:shd w:val="clear" w:color="auto" w:fill="FF9999"/>
          </w:tcPr>
          <w:p w14:paraId="4E33B2D3" w14:textId="77777777" w:rsidR="000C5EA6" w:rsidRPr="009806EB" w:rsidRDefault="000C5EA6" w:rsidP="00D77FE0">
            <w:pPr>
              <w:pStyle w:val="ListParagraph"/>
              <w:numPr>
                <w:ilvl w:val="0"/>
                <w:numId w:val="28"/>
              </w:numPr>
              <w:tabs>
                <w:tab w:val="left" w:pos="284"/>
              </w:tabs>
              <w:ind w:left="357" w:hanging="357"/>
            </w:pPr>
            <w:r w:rsidRPr="009806EB">
              <w:lastRenderedPageBreak/>
              <w:t>No notice</w:t>
            </w:r>
          </w:p>
          <w:p w14:paraId="30603945" w14:textId="77777777" w:rsidR="000C5EA6" w:rsidRPr="009806EB" w:rsidRDefault="000C5EA6" w:rsidP="00D77FE0">
            <w:pPr>
              <w:pStyle w:val="ListParagraph"/>
              <w:numPr>
                <w:ilvl w:val="0"/>
                <w:numId w:val="28"/>
              </w:numPr>
              <w:tabs>
                <w:tab w:val="left" w:pos="284"/>
              </w:tabs>
              <w:ind w:left="357" w:hanging="357"/>
            </w:pPr>
            <w:r w:rsidRPr="009806EB">
              <w:t>Written notice given to bailor or other owner, to collect within 7 days, notice published in Canberra Times (applies to remaining classification of value)</w:t>
            </w:r>
          </w:p>
        </w:tc>
        <w:tc>
          <w:tcPr>
            <w:tcW w:w="1684" w:type="dxa"/>
            <w:shd w:val="clear" w:color="auto" w:fill="E0C1ED" w:themeFill="text2" w:themeFillTint="33"/>
          </w:tcPr>
          <w:p w14:paraId="7681E621" w14:textId="77777777" w:rsidR="000C5EA6" w:rsidRPr="009806EB" w:rsidRDefault="000C5EA6" w:rsidP="00D77FE0">
            <w:pPr>
              <w:pStyle w:val="ListParagraph"/>
              <w:numPr>
                <w:ilvl w:val="0"/>
                <w:numId w:val="28"/>
              </w:numPr>
              <w:tabs>
                <w:tab w:val="left" w:pos="284"/>
              </w:tabs>
              <w:ind w:left="357" w:hanging="357"/>
            </w:pPr>
            <w:r w:rsidRPr="009806EB">
              <w:t xml:space="preserve">Notice published in state-wide and local newspaper (court order may be required, advised to seek legal advice)  </w:t>
            </w:r>
          </w:p>
          <w:p w14:paraId="70666690" w14:textId="1F0C6BB3" w:rsidR="000C5EA6" w:rsidRPr="00C56609" w:rsidRDefault="000C5EA6" w:rsidP="00C56609">
            <w:pPr>
              <w:pStyle w:val="ListParagraph"/>
              <w:numPr>
                <w:ilvl w:val="0"/>
                <w:numId w:val="28"/>
              </w:numPr>
              <w:tabs>
                <w:tab w:val="left" w:pos="381"/>
              </w:tabs>
              <w:ind w:left="381"/>
            </w:pPr>
            <w:r w:rsidRPr="00C56609">
              <w:t>Signage must be placed at each business stating that uncollected goods may be sold after 6 months from the collection date</w:t>
            </w:r>
          </w:p>
        </w:tc>
        <w:tc>
          <w:tcPr>
            <w:tcW w:w="1685" w:type="dxa"/>
            <w:shd w:val="clear" w:color="auto" w:fill="FFFFCC"/>
          </w:tcPr>
          <w:p w14:paraId="237995C7" w14:textId="77777777" w:rsidR="000C5EA6" w:rsidRPr="009806EB" w:rsidRDefault="000C5EA6" w:rsidP="00D77FE0">
            <w:pPr>
              <w:pStyle w:val="ListParagraph"/>
              <w:numPr>
                <w:ilvl w:val="0"/>
                <w:numId w:val="28"/>
              </w:numPr>
              <w:tabs>
                <w:tab w:val="left" w:pos="284"/>
              </w:tabs>
              <w:ind w:left="357" w:hanging="357"/>
            </w:pPr>
            <w:r w:rsidRPr="009806EB">
              <w:t xml:space="preserve">Notice of goods being ready and notice of intention to sell goods is sent to owner of goods and to commissioner of police </w:t>
            </w:r>
          </w:p>
        </w:tc>
        <w:tc>
          <w:tcPr>
            <w:tcW w:w="1685" w:type="dxa"/>
            <w:shd w:val="clear" w:color="auto" w:fill="D9D9D9" w:themeFill="background1" w:themeFillShade="D9"/>
          </w:tcPr>
          <w:p w14:paraId="0A73C9B0" w14:textId="77777777" w:rsidR="000C5EA6" w:rsidRPr="009806EB" w:rsidRDefault="000C5EA6" w:rsidP="00D77FE0">
            <w:pPr>
              <w:pStyle w:val="ListParagraph"/>
              <w:numPr>
                <w:ilvl w:val="0"/>
                <w:numId w:val="28"/>
              </w:numPr>
              <w:tabs>
                <w:tab w:val="left" w:pos="284"/>
              </w:tabs>
              <w:ind w:left="357" w:hanging="357"/>
            </w:pPr>
            <w:r w:rsidRPr="009806EB">
              <w:t>Written notice to bailor</w:t>
            </w:r>
          </w:p>
          <w:p w14:paraId="170D28FA" w14:textId="77777777" w:rsidR="000C5EA6" w:rsidRPr="009806EB" w:rsidRDefault="000C5EA6" w:rsidP="00D77FE0">
            <w:pPr>
              <w:pStyle w:val="ListParagraph"/>
              <w:numPr>
                <w:ilvl w:val="0"/>
                <w:numId w:val="28"/>
              </w:numPr>
              <w:tabs>
                <w:tab w:val="left" w:pos="284"/>
              </w:tabs>
              <w:ind w:left="357" w:hanging="357"/>
            </w:pPr>
            <w:r w:rsidRPr="009806EB">
              <w:t>Written notice to bailor and any owner/person claiming interest in the goods</w:t>
            </w:r>
          </w:p>
          <w:p w14:paraId="6EE9AF99" w14:textId="77777777" w:rsidR="000C5EA6" w:rsidRPr="009806EB" w:rsidRDefault="000C5EA6" w:rsidP="00D77FE0">
            <w:pPr>
              <w:pStyle w:val="ListParagraph"/>
              <w:numPr>
                <w:ilvl w:val="0"/>
                <w:numId w:val="28"/>
              </w:numPr>
              <w:tabs>
                <w:tab w:val="left" w:pos="284"/>
              </w:tabs>
              <w:ind w:left="357" w:hanging="357"/>
            </w:pPr>
            <w:r w:rsidRPr="009806EB">
              <w:t xml:space="preserve">Written notice to bailor and any owner/person claiming interest in the goods, Commissioner of Police informed and newspaper </w:t>
            </w:r>
            <w:r w:rsidRPr="009806EB">
              <w:t>advertisement</w:t>
            </w:r>
          </w:p>
          <w:p w14:paraId="160263F1" w14:textId="77777777" w:rsidR="000C5EA6" w:rsidRPr="009806EB" w:rsidRDefault="000C5EA6" w:rsidP="00D77FE0">
            <w:pPr>
              <w:pStyle w:val="ListParagraph"/>
              <w:numPr>
                <w:ilvl w:val="0"/>
                <w:numId w:val="28"/>
              </w:numPr>
              <w:tabs>
                <w:tab w:val="left" w:pos="284"/>
              </w:tabs>
              <w:ind w:left="357" w:hanging="357"/>
            </w:pPr>
            <w:r w:rsidRPr="009806EB">
              <w:t>Court order needed to dispose of goods</w:t>
            </w:r>
          </w:p>
        </w:tc>
      </w:tr>
      <w:tr w:rsidR="003723A4" w:rsidRPr="009806EB" w14:paraId="09E5768A" w14:textId="77777777" w:rsidTr="00DA5FFF">
        <w:trPr>
          <w:cantSplit/>
          <w:trHeight w:val="6365"/>
        </w:trPr>
        <w:tc>
          <w:tcPr>
            <w:tcW w:w="1684" w:type="dxa"/>
          </w:tcPr>
          <w:p w14:paraId="3149FD65" w14:textId="77777777" w:rsidR="000C5EA6" w:rsidRPr="009806EB" w:rsidRDefault="000C5EA6" w:rsidP="00D77FE0">
            <w:pPr>
              <w:pStyle w:val="OutlineNumbered1"/>
              <w:numPr>
                <w:ilvl w:val="0"/>
                <w:numId w:val="0"/>
              </w:numPr>
              <w:tabs>
                <w:tab w:val="left" w:pos="284"/>
              </w:tabs>
            </w:pPr>
            <w:r w:rsidRPr="009806EB">
              <w:lastRenderedPageBreak/>
              <w:t>Retention Period (by classification of value as above)</w:t>
            </w:r>
          </w:p>
          <w:p w14:paraId="7570C082" w14:textId="77777777" w:rsidR="000C5EA6" w:rsidRPr="009806EB" w:rsidRDefault="000C5EA6" w:rsidP="00D77FE0">
            <w:pPr>
              <w:pStyle w:val="OutlineNumbered1"/>
              <w:numPr>
                <w:ilvl w:val="0"/>
                <w:numId w:val="0"/>
              </w:numPr>
              <w:tabs>
                <w:tab w:val="left" w:pos="284"/>
              </w:tabs>
            </w:pPr>
          </w:p>
          <w:p w14:paraId="60DF9901" w14:textId="25E1C187" w:rsidR="000C5EA6" w:rsidRPr="009806EB" w:rsidRDefault="000C5EA6" w:rsidP="00D77FE0">
            <w:pPr>
              <w:pStyle w:val="OutlineNumbered1"/>
              <w:numPr>
                <w:ilvl w:val="0"/>
                <w:numId w:val="0"/>
              </w:numPr>
              <w:tabs>
                <w:tab w:val="left" w:pos="284"/>
              </w:tabs>
            </w:pPr>
          </w:p>
        </w:tc>
        <w:tc>
          <w:tcPr>
            <w:tcW w:w="1685" w:type="dxa"/>
            <w:shd w:val="clear" w:color="auto" w:fill="DFEBCE" w:themeFill="accent4" w:themeFillTint="33"/>
          </w:tcPr>
          <w:p w14:paraId="7CFD9E57" w14:textId="77777777" w:rsidR="000C5EA6" w:rsidRPr="009806EB" w:rsidRDefault="000C5EA6" w:rsidP="00D77FE0">
            <w:pPr>
              <w:pStyle w:val="ListParagraph"/>
              <w:numPr>
                <w:ilvl w:val="0"/>
                <w:numId w:val="28"/>
              </w:numPr>
              <w:tabs>
                <w:tab w:val="left" w:pos="284"/>
              </w:tabs>
              <w:ind w:left="357" w:hanging="357"/>
            </w:pPr>
            <w:r w:rsidRPr="009806EB">
              <w:t>28 days after notice of intention to dispose</w:t>
            </w:r>
          </w:p>
          <w:p w14:paraId="28B06DC9" w14:textId="77777777" w:rsidR="000C5EA6" w:rsidRPr="009806EB" w:rsidRDefault="000C5EA6" w:rsidP="00D77FE0">
            <w:pPr>
              <w:pStyle w:val="ListParagraph"/>
              <w:numPr>
                <w:ilvl w:val="0"/>
                <w:numId w:val="28"/>
              </w:numPr>
              <w:tabs>
                <w:tab w:val="left" w:pos="284"/>
              </w:tabs>
              <w:ind w:left="357" w:hanging="357"/>
            </w:pPr>
            <w:r w:rsidRPr="009806EB">
              <w:t>3 months after notice</w:t>
            </w:r>
          </w:p>
          <w:p w14:paraId="13708D5E" w14:textId="77777777" w:rsidR="000C5EA6" w:rsidRPr="009806EB" w:rsidRDefault="000C5EA6" w:rsidP="00D77FE0">
            <w:pPr>
              <w:pStyle w:val="ListParagraph"/>
              <w:numPr>
                <w:ilvl w:val="0"/>
                <w:numId w:val="28"/>
              </w:numPr>
              <w:tabs>
                <w:tab w:val="left" w:pos="284"/>
              </w:tabs>
              <w:ind w:left="357" w:hanging="357"/>
            </w:pPr>
            <w:r w:rsidRPr="009806EB">
              <w:t>6 months after notice; and 28 days after publication</w:t>
            </w:r>
          </w:p>
          <w:p w14:paraId="5FEBFE5A" w14:textId="77777777" w:rsidR="000C5EA6" w:rsidRPr="009806EB" w:rsidRDefault="000C5EA6" w:rsidP="00D77FE0">
            <w:pPr>
              <w:pStyle w:val="ListParagraph"/>
              <w:numPr>
                <w:ilvl w:val="0"/>
                <w:numId w:val="28"/>
              </w:numPr>
              <w:tabs>
                <w:tab w:val="left" w:pos="284"/>
              </w:tabs>
              <w:ind w:left="357" w:hanging="357"/>
            </w:pPr>
            <w:r w:rsidRPr="009806EB">
              <w:t>Dependant on court order</w:t>
            </w:r>
          </w:p>
        </w:tc>
        <w:tc>
          <w:tcPr>
            <w:tcW w:w="1685" w:type="dxa"/>
            <w:shd w:val="clear" w:color="auto" w:fill="F8E2CF" w:themeFill="accent2" w:themeFillTint="33"/>
          </w:tcPr>
          <w:p w14:paraId="7B89AD2A" w14:textId="77777777" w:rsidR="000C5EA6" w:rsidRPr="009806EB" w:rsidRDefault="000C5EA6" w:rsidP="00D77FE0">
            <w:pPr>
              <w:pStyle w:val="ListParagraph"/>
              <w:numPr>
                <w:ilvl w:val="0"/>
                <w:numId w:val="28"/>
              </w:numPr>
              <w:tabs>
                <w:tab w:val="left" w:pos="284"/>
              </w:tabs>
              <w:ind w:left="357" w:hanging="357"/>
            </w:pPr>
            <w:r w:rsidRPr="009806EB">
              <w:t xml:space="preserve">28 days after notice (60 days if unable to establish contact) </w:t>
            </w:r>
          </w:p>
          <w:p w14:paraId="6BC528BB" w14:textId="77777777" w:rsidR="000C5EA6" w:rsidRPr="009806EB" w:rsidRDefault="000C5EA6" w:rsidP="00D77FE0">
            <w:pPr>
              <w:pStyle w:val="ListParagraph"/>
              <w:numPr>
                <w:ilvl w:val="0"/>
                <w:numId w:val="28"/>
              </w:numPr>
              <w:tabs>
                <w:tab w:val="left" w:pos="284"/>
              </w:tabs>
              <w:ind w:left="357" w:hanging="357"/>
            </w:pPr>
            <w:r w:rsidRPr="009806EB">
              <w:t>28 days after notice (90 days if unable to establish contact</w:t>
            </w:r>
          </w:p>
          <w:p w14:paraId="05B86D2C" w14:textId="77777777" w:rsidR="000C5EA6" w:rsidRPr="009806EB" w:rsidRDefault="000C5EA6" w:rsidP="00D77FE0">
            <w:pPr>
              <w:pStyle w:val="ListParagraph"/>
              <w:numPr>
                <w:ilvl w:val="0"/>
                <w:numId w:val="28"/>
              </w:numPr>
              <w:tabs>
                <w:tab w:val="left" w:pos="284"/>
              </w:tabs>
              <w:ind w:left="357" w:hanging="357"/>
            </w:pPr>
            <w:r w:rsidRPr="009806EB">
              <w:t>28 days after notice (180 days if unable to establish contact)</w:t>
            </w:r>
          </w:p>
        </w:tc>
        <w:tc>
          <w:tcPr>
            <w:tcW w:w="1684" w:type="dxa"/>
            <w:shd w:val="clear" w:color="auto" w:fill="C0E4F7" w:themeFill="accent5" w:themeFillTint="33"/>
          </w:tcPr>
          <w:p w14:paraId="0F40DF5E" w14:textId="77777777" w:rsidR="000C5EA6" w:rsidRPr="009806EB" w:rsidRDefault="000C5EA6" w:rsidP="00D77FE0">
            <w:pPr>
              <w:pStyle w:val="ListParagraph"/>
              <w:numPr>
                <w:ilvl w:val="0"/>
                <w:numId w:val="28"/>
              </w:numPr>
              <w:tabs>
                <w:tab w:val="left" w:pos="284"/>
              </w:tabs>
              <w:ind w:left="357" w:hanging="357"/>
            </w:pPr>
            <w:r w:rsidRPr="009806EB">
              <w:t>3 months after collection date if contact was made, otherwise 42 days after public notice (same for all value categories)</w:t>
            </w:r>
          </w:p>
        </w:tc>
        <w:tc>
          <w:tcPr>
            <w:tcW w:w="1685" w:type="dxa"/>
            <w:shd w:val="clear" w:color="auto" w:fill="FFCC99"/>
          </w:tcPr>
          <w:p w14:paraId="46C5DD55" w14:textId="77777777" w:rsidR="000C5EA6" w:rsidRPr="009806EB" w:rsidRDefault="000C5EA6" w:rsidP="00D77FE0">
            <w:pPr>
              <w:pStyle w:val="ListParagraph"/>
              <w:numPr>
                <w:ilvl w:val="0"/>
                <w:numId w:val="28"/>
              </w:numPr>
              <w:tabs>
                <w:tab w:val="left" w:pos="284"/>
              </w:tabs>
              <w:ind w:left="357" w:hanging="357"/>
            </w:pPr>
            <w:r w:rsidRPr="009806EB">
              <w:t>6 months after initial notice, and then a further 1 month after ‘notice of intention to sell or otherwise dispose of goods’</w:t>
            </w:r>
          </w:p>
          <w:p w14:paraId="2FC8EAF5" w14:textId="77777777" w:rsidR="000C5EA6" w:rsidRPr="009806EB" w:rsidRDefault="000C5EA6" w:rsidP="00D77FE0">
            <w:pPr>
              <w:pStyle w:val="ListParagraph"/>
              <w:numPr>
                <w:ilvl w:val="0"/>
                <w:numId w:val="28"/>
              </w:numPr>
              <w:tabs>
                <w:tab w:val="left" w:pos="284"/>
              </w:tabs>
              <w:ind w:left="357" w:hanging="357"/>
            </w:pPr>
            <w:r w:rsidRPr="009806EB">
              <w:t xml:space="preserve">6 months after initial notice, then a further 1 month after ‘notice of intention to sell or otherwise dispose of goods’, than appointed by court  </w:t>
            </w:r>
          </w:p>
          <w:p w14:paraId="49EA941E" w14:textId="77777777" w:rsidR="000C5EA6" w:rsidRPr="009806EB" w:rsidRDefault="000C5EA6" w:rsidP="00D77FE0">
            <w:pPr>
              <w:pStyle w:val="ListParagraph"/>
              <w:numPr>
                <w:ilvl w:val="0"/>
                <w:numId w:val="28"/>
              </w:numPr>
              <w:tabs>
                <w:tab w:val="left" w:pos="284"/>
              </w:tabs>
              <w:ind w:left="357" w:hanging="357"/>
            </w:pPr>
            <w:r w:rsidRPr="009806EB">
              <w:t>6 months after initial notice, and then a further 1 month after ‘notice of intention to sell or otherwise dispose of goods’</w:t>
            </w:r>
          </w:p>
        </w:tc>
        <w:tc>
          <w:tcPr>
            <w:tcW w:w="1685" w:type="dxa"/>
            <w:shd w:val="clear" w:color="auto" w:fill="FF9999"/>
          </w:tcPr>
          <w:p w14:paraId="474117F1" w14:textId="77777777" w:rsidR="000C5EA6" w:rsidRPr="009806EB" w:rsidRDefault="000C5EA6" w:rsidP="00D77FE0">
            <w:pPr>
              <w:pStyle w:val="ListParagraph"/>
              <w:numPr>
                <w:ilvl w:val="0"/>
                <w:numId w:val="28"/>
              </w:numPr>
              <w:tabs>
                <w:tab w:val="left" w:pos="284"/>
              </w:tabs>
              <w:ind w:left="357" w:hanging="357"/>
              <w:rPr>
                <w:b/>
              </w:rPr>
            </w:pPr>
            <w:r w:rsidRPr="009806EB">
              <w:t>7 days</w:t>
            </w:r>
          </w:p>
          <w:p w14:paraId="2740589C" w14:textId="77777777" w:rsidR="000C5EA6" w:rsidRPr="009806EB" w:rsidRDefault="000C5EA6" w:rsidP="00D77FE0">
            <w:pPr>
              <w:pStyle w:val="ListParagraph"/>
              <w:numPr>
                <w:ilvl w:val="0"/>
                <w:numId w:val="28"/>
              </w:numPr>
              <w:tabs>
                <w:tab w:val="left" w:pos="284"/>
              </w:tabs>
              <w:ind w:left="357" w:hanging="357"/>
              <w:rPr>
                <w:b/>
              </w:rPr>
            </w:pPr>
            <w:r w:rsidRPr="009806EB">
              <w:t xml:space="preserve">1 month after notice </w:t>
            </w:r>
          </w:p>
          <w:p w14:paraId="6A942D43" w14:textId="77777777" w:rsidR="000C5EA6" w:rsidRPr="009806EB" w:rsidRDefault="000C5EA6" w:rsidP="00D77FE0">
            <w:pPr>
              <w:pStyle w:val="ListParagraph"/>
              <w:numPr>
                <w:ilvl w:val="0"/>
                <w:numId w:val="28"/>
              </w:numPr>
              <w:tabs>
                <w:tab w:val="left" w:pos="284"/>
              </w:tabs>
              <w:ind w:left="357" w:hanging="357"/>
              <w:rPr>
                <w:b/>
              </w:rPr>
            </w:pPr>
            <w:r w:rsidRPr="009806EB">
              <w:t xml:space="preserve">3 months after notice </w:t>
            </w:r>
          </w:p>
        </w:tc>
        <w:tc>
          <w:tcPr>
            <w:tcW w:w="1684" w:type="dxa"/>
            <w:shd w:val="clear" w:color="auto" w:fill="E0C1ED" w:themeFill="text2" w:themeFillTint="33"/>
          </w:tcPr>
          <w:p w14:paraId="51996650" w14:textId="77777777" w:rsidR="000C5EA6" w:rsidRPr="009806EB" w:rsidRDefault="000C5EA6" w:rsidP="00D77FE0">
            <w:pPr>
              <w:pStyle w:val="ListParagraph"/>
              <w:numPr>
                <w:ilvl w:val="0"/>
                <w:numId w:val="28"/>
              </w:numPr>
              <w:tabs>
                <w:tab w:val="left" w:pos="284"/>
              </w:tabs>
              <w:ind w:left="357" w:hanging="357"/>
            </w:pPr>
            <w:r w:rsidRPr="009806EB">
              <w:t>Notice sent 6 months after collection date, sale after 28 days of notice (or in credence with court order)</w:t>
            </w:r>
          </w:p>
        </w:tc>
        <w:tc>
          <w:tcPr>
            <w:tcW w:w="1685" w:type="dxa"/>
            <w:shd w:val="clear" w:color="auto" w:fill="FFFFCC"/>
          </w:tcPr>
          <w:p w14:paraId="04F6F863" w14:textId="77777777" w:rsidR="000C5EA6" w:rsidRPr="009806EB" w:rsidRDefault="000C5EA6" w:rsidP="00D77FE0">
            <w:pPr>
              <w:pStyle w:val="ListParagraph"/>
              <w:numPr>
                <w:ilvl w:val="0"/>
                <w:numId w:val="28"/>
              </w:numPr>
              <w:tabs>
                <w:tab w:val="left" w:pos="284"/>
              </w:tabs>
              <w:ind w:left="357" w:hanging="357"/>
            </w:pPr>
            <w:r w:rsidRPr="009806EB">
              <w:t>6 months after notice of goods being ready for collection and then a further 1 month after notice of intention to sell the goods</w:t>
            </w:r>
          </w:p>
        </w:tc>
        <w:tc>
          <w:tcPr>
            <w:tcW w:w="1685" w:type="dxa"/>
            <w:shd w:val="clear" w:color="auto" w:fill="D9D9D9" w:themeFill="background1" w:themeFillShade="D9"/>
          </w:tcPr>
          <w:p w14:paraId="11A3A1F8" w14:textId="77777777" w:rsidR="000C5EA6" w:rsidRPr="009806EB" w:rsidRDefault="000C5EA6" w:rsidP="00D77FE0">
            <w:pPr>
              <w:pStyle w:val="ListParagraph"/>
              <w:numPr>
                <w:ilvl w:val="0"/>
                <w:numId w:val="28"/>
              </w:numPr>
              <w:tabs>
                <w:tab w:val="left" w:pos="284"/>
              </w:tabs>
              <w:ind w:left="357" w:hanging="357"/>
            </w:pPr>
            <w:r w:rsidRPr="009806EB">
              <w:t>28 days after notice</w:t>
            </w:r>
          </w:p>
          <w:p w14:paraId="4D895CD1" w14:textId="77777777" w:rsidR="000C5EA6" w:rsidRPr="009806EB" w:rsidRDefault="000C5EA6" w:rsidP="00D77FE0">
            <w:pPr>
              <w:pStyle w:val="ListParagraph"/>
              <w:numPr>
                <w:ilvl w:val="0"/>
                <w:numId w:val="28"/>
              </w:numPr>
              <w:tabs>
                <w:tab w:val="left" w:pos="284"/>
              </w:tabs>
              <w:ind w:left="357" w:hanging="357"/>
            </w:pPr>
            <w:r w:rsidRPr="009806EB">
              <w:t>2 months after notice</w:t>
            </w:r>
          </w:p>
          <w:p w14:paraId="29BAA0D5" w14:textId="77777777" w:rsidR="000C5EA6" w:rsidRPr="009806EB" w:rsidRDefault="000C5EA6" w:rsidP="00D77FE0">
            <w:pPr>
              <w:pStyle w:val="ListParagraph"/>
              <w:numPr>
                <w:ilvl w:val="0"/>
                <w:numId w:val="28"/>
              </w:numPr>
              <w:tabs>
                <w:tab w:val="left" w:pos="284"/>
              </w:tabs>
              <w:ind w:left="357" w:hanging="357"/>
            </w:pPr>
            <w:r w:rsidRPr="009806EB">
              <w:t>3 months’ notice, advertisement at least 28 days before disposal</w:t>
            </w:r>
          </w:p>
          <w:p w14:paraId="77B8DC39" w14:textId="77777777" w:rsidR="000C5EA6" w:rsidRPr="009806EB" w:rsidRDefault="000C5EA6" w:rsidP="00D77FE0">
            <w:pPr>
              <w:pStyle w:val="ListParagraph"/>
              <w:numPr>
                <w:ilvl w:val="0"/>
                <w:numId w:val="28"/>
              </w:numPr>
              <w:tabs>
                <w:tab w:val="left" w:pos="284"/>
              </w:tabs>
              <w:ind w:left="357" w:hanging="357"/>
            </w:pPr>
            <w:r w:rsidRPr="009806EB">
              <w:t>According to court order</w:t>
            </w:r>
          </w:p>
        </w:tc>
      </w:tr>
      <w:tr w:rsidR="003723A4" w:rsidRPr="009806EB" w14:paraId="3434136D" w14:textId="77777777" w:rsidTr="00DA5FFF">
        <w:trPr>
          <w:cantSplit/>
        </w:trPr>
        <w:tc>
          <w:tcPr>
            <w:tcW w:w="1684" w:type="dxa"/>
          </w:tcPr>
          <w:p w14:paraId="21459D1B" w14:textId="68874943" w:rsidR="000C5EA6" w:rsidRPr="009806EB" w:rsidRDefault="00C56609" w:rsidP="00D77FE0">
            <w:pPr>
              <w:pStyle w:val="OutlineNumbered1"/>
              <w:numPr>
                <w:ilvl w:val="0"/>
                <w:numId w:val="0"/>
              </w:numPr>
              <w:tabs>
                <w:tab w:val="left" w:pos="284"/>
              </w:tabs>
              <w:ind w:left="34"/>
            </w:pPr>
            <w:r>
              <w:lastRenderedPageBreak/>
              <w:t xml:space="preserve">Method of </w:t>
            </w:r>
            <w:r w:rsidR="00B031BE" w:rsidRPr="009806EB">
              <w:t>disposal</w:t>
            </w:r>
            <w:r w:rsidR="000C5EA6" w:rsidRPr="009806EB">
              <w:t xml:space="preserve"> (by classification of value as above) </w:t>
            </w:r>
          </w:p>
          <w:p w14:paraId="06A8D8EC" w14:textId="77777777" w:rsidR="000C5EA6" w:rsidRPr="009806EB" w:rsidRDefault="000C5EA6" w:rsidP="00D77FE0">
            <w:pPr>
              <w:pStyle w:val="OutlineNumbered1"/>
              <w:numPr>
                <w:ilvl w:val="0"/>
                <w:numId w:val="0"/>
              </w:numPr>
              <w:tabs>
                <w:tab w:val="left" w:pos="284"/>
              </w:tabs>
              <w:ind w:left="34"/>
            </w:pPr>
          </w:p>
          <w:p w14:paraId="16968D7C" w14:textId="77777777" w:rsidR="000C5EA6" w:rsidRPr="009806EB" w:rsidRDefault="000C5EA6" w:rsidP="00D77FE0">
            <w:pPr>
              <w:pStyle w:val="OutlineNumbered1"/>
              <w:numPr>
                <w:ilvl w:val="0"/>
                <w:numId w:val="0"/>
              </w:numPr>
              <w:tabs>
                <w:tab w:val="left" w:pos="284"/>
              </w:tabs>
              <w:ind w:left="34"/>
            </w:pPr>
          </w:p>
          <w:p w14:paraId="28BE86EB" w14:textId="77777777" w:rsidR="000C5EA6" w:rsidRPr="009806EB" w:rsidRDefault="000C5EA6" w:rsidP="00D77FE0">
            <w:pPr>
              <w:pStyle w:val="OutlineNumbered1"/>
              <w:numPr>
                <w:ilvl w:val="0"/>
                <w:numId w:val="0"/>
              </w:numPr>
              <w:tabs>
                <w:tab w:val="left" w:pos="284"/>
              </w:tabs>
              <w:ind w:left="34"/>
            </w:pPr>
          </w:p>
          <w:p w14:paraId="586CA53C" w14:textId="26FCD137" w:rsidR="000C5EA6" w:rsidRPr="009806EB" w:rsidRDefault="000C5EA6" w:rsidP="00D77FE0">
            <w:pPr>
              <w:pStyle w:val="OutlineNumbered1"/>
              <w:numPr>
                <w:ilvl w:val="0"/>
                <w:numId w:val="0"/>
              </w:numPr>
              <w:tabs>
                <w:tab w:val="left" w:pos="284"/>
              </w:tabs>
              <w:ind w:left="34"/>
            </w:pPr>
          </w:p>
        </w:tc>
        <w:tc>
          <w:tcPr>
            <w:tcW w:w="1685" w:type="dxa"/>
            <w:shd w:val="clear" w:color="auto" w:fill="DFEBCE" w:themeFill="accent4" w:themeFillTint="33"/>
          </w:tcPr>
          <w:p w14:paraId="5B0BCCE8" w14:textId="77777777" w:rsidR="000C5EA6" w:rsidRPr="009806EB" w:rsidRDefault="000C5EA6" w:rsidP="00D77FE0">
            <w:pPr>
              <w:pStyle w:val="ListParagraph"/>
              <w:numPr>
                <w:ilvl w:val="0"/>
                <w:numId w:val="28"/>
              </w:numPr>
              <w:tabs>
                <w:tab w:val="left" w:pos="284"/>
              </w:tabs>
              <w:ind w:left="357" w:hanging="357"/>
            </w:pPr>
            <w:r w:rsidRPr="009806EB">
              <w:t xml:space="preserve">Any manner </w:t>
            </w:r>
          </w:p>
          <w:p w14:paraId="6EC0BF83" w14:textId="77777777" w:rsidR="000C5EA6" w:rsidRPr="009806EB" w:rsidRDefault="000C5EA6" w:rsidP="00D77FE0">
            <w:pPr>
              <w:pStyle w:val="ListParagraph"/>
              <w:numPr>
                <w:ilvl w:val="0"/>
                <w:numId w:val="28"/>
              </w:numPr>
              <w:tabs>
                <w:tab w:val="left" w:pos="284"/>
              </w:tabs>
              <w:ind w:left="357" w:hanging="357"/>
            </w:pPr>
            <w:r w:rsidRPr="009806EB">
              <w:t>Public auction or private sale</w:t>
            </w:r>
          </w:p>
          <w:p w14:paraId="737FFF9F" w14:textId="77777777" w:rsidR="000C5EA6" w:rsidRPr="009806EB" w:rsidRDefault="000C5EA6" w:rsidP="00D77FE0">
            <w:pPr>
              <w:pStyle w:val="ListParagraph"/>
              <w:numPr>
                <w:ilvl w:val="0"/>
                <w:numId w:val="28"/>
              </w:numPr>
              <w:tabs>
                <w:tab w:val="left" w:pos="284"/>
              </w:tabs>
              <w:ind w:left="357" w:hanging="357"/>
            </w:pPr>
            <w:r w:rsidRPr="009806EB">
              <w:t>Public auction</w:t>
            </w:r>
          </w:p>
          <w:p w14:paraId="107E5A7F" w14:textId="77777777" w:rsidR="000C5EA6" w:rsidRPr="009806EB" w:rsidRDefault="000C5EA6" w:rsidP="00D77FE0">
            <w:pPr>
              <w:pStyle w:val="ListParagraph"/>
              <w:numPr>
                <w:ilvl w:val="0"/>
                <w:numId w:val="28"/>
              </w:numPr>
              <w:tabs>
                <w:tab w:val="left" w:pos="284"/>
              </w:tabs>
              <w:ind w:left="357" w:hanging="357"/>
            </w:pPr>
            <w:r w:rsidRPr="009806EB">
              <w:t>According to court order</w:t>
            </w:r>
          </w:p>
        </w:tc>
        <w:tc>
          <w:tcPr>
            <w:tcW w:w="1685" w:type="dxa"/>
            <w:shd w:val="clear" w:color="auto" w:fill="F8E2CF" w:themeFill="accent2" w:themeFillTint="33"/>
          </w:tcPr>
          <w:p w14:paraId="5A62649F" w14:textId="77777777" w:rsidR="000C5EA6" w:rsidRPr="009806EB" w:rsidRDefault="000C5EA6" w:rsidP="00D77FE0">
            <w:pPr>
              <w:pStyle w:val="ListParagraph"/>
              <w:numPr>
                <w:ilvl w:val="0"/>
                <w:numId w:val="28"/>
              </w:numPr>
              <w:tabs>
                <w:tab w:val="left" w:pos="284"/>
              </w:tabs>
              <w:ind w:left="357" w:hanging="357"/>
            </w:pPr>
            <w:r w:rsidRPr="009806EB">
              <w:t>Any manner</w:t>
            </w:r>
          </w:p>
          <w:p w14:paraId="0BBB013B" w14:textId="77777777" w:rsidR="000C5EA6" w:rsidRPr="009806EB" w:rsidRDefault="000C5EA6" w:rsidP="00D77FE0">
            <w:pPr>
              <w:pStyle w:val="ListParagraph"/>
              <w:numPr>
                <w:ilvl w:val="0"/>
                <w:numId w:val="28"/>
              </w:numPr>
              <w:tabs>
                <w:tab w:val="left" w:pos="284"/>
              </w:tabs>
              <w:ind w:left="357" w:hanging="357"/>
            </w:pPr>
            <w:r w:rsidRPr="009806EB">
              <w:t>Public auction or private sale</w:t>
            </w:r>
          </w:p>
          <w:p w14:paraId="202AE344" w14:textId="77777777" w:rsidR="000C5EA6" w:rsidRPr="009806EB" w:rsidRDefault="000C5EA6" w:rsidP="00D77FE0">
            <w:pPr>
              <w:pStyle w:val="ListParagraph"/>
              <w:numPr>
                <w:ilvl w:val="0"/>
                <w:numId w:val="28"/>
              </w:numPr>
              <w:tabs>
                <w:tab w:val="left" w:pos="284"/>
              </w:tabs>
              <w:ind w:left="357" w:hanging="357"/>
            </w:pPr>
            <w:r w:rsidRPr="009806EB">
              <w:t xml:space="preserve">Public auction with advertisement 7 days in advance (or online auction lasting 7 days), or private sale </w:t>
            </w:r>
          </w:p>
        </w:tc>
        <w:tc>
          <w:tcPr>
            <w:tcW w:w="1684" w:type="dxa"/>
            <w:shd w:val="clear" w:color="auto" w:fill="C0E4F7" w:themeFill="accent5" w:themeFillTint="33"/>
          </w:tcPr>
          <w:p w14:paraId="285D6F56" w14:textId="77777777" w:rsidR="000C5EA6" w:rsidRPr="009806EB" w:rsidRDefault="000C5EA6" w:rsidP="00C56609">
            <w:pPr>
              <w:pStyle w:val="ListParagraph"/>
              <w:numPr>
                <w:ilvl w:val="0"/>
                <w:numId w:val="28"/>
              </w:numPr>
              <w:tabs>
                <w:tab w:val="left" w:pos="191"/>
              </w:tabs>
              <w:ind w:left="191" w:hanging="191"/>
            </w:pPr>
            <w:r w:rsidRPr="009806EB">
              <w:t>Anny manner</w:t>
            </w:r>
          </w:p>
          <w:p w14:paraId="23850299" w14:textId="77777777" w:rsidR="000C5EA6" w:rsidRPr="009806EB" w:rsidRDefault="000C5EA6" w:rsidP="00C56609">
            <w:pPr>
              <w:pStyle w:val="ListParagraph"/>
              <w:numPr>
                <w:ilvl w:val="0"/>
                <w:numId w:val="28"/>
              </w:numPr>
              <w:tabs>
                <w:tab w:val="left" w:pos="191"/>
                <w:tab w:val="left" w:pos="333"/>
              </w:tabs>
              <w:ind w:left="191" w:hanging="191"/>
            </w:pPr>
            <w:r w:rsidRPr="009806EB">
              <w:t>Public auction after notification to Commissioner of Police and owner of goods (at least one month before auction), or if address not given, advertisement in public notices in The Advertiser (or apply to court for exemption)</w:t>
            </w:r>
          </w:p>
          <w:p w14:paraId="40C15E94" w14:textId="77777777" w:rsidR="000C5EA6" w:rsidRPr="009806EB" w:rsidRDefault="000C5EA6" w:rsidP="00C56609">
            <w:pPr>
              <w:pStyle w:val="ListParagraph"/>
              <w:numPr>
                <w:ilvl w:val="0"/>
                <w:numId w:val="28"/>
              </w:numPr>
              <w:tabs>
                <w:tab w:val="left" w:pos="191"/>
              </w:tabs>
              <w:ind w:left="191" w:hanging="191"/>
            </w:pPr>
            <w:r w:rsidRPr="009806EB">
              <w:t xml:space="preserve">On advice from Magistrate’s Court (for values under $100,000) or the district/supreme court (for values over $100,000) for permission to sell the goods (Commissioner of Police, owner and anyone else the court </w:t>
            </w:r>
            <w:r w:rsidRPr="009806EB">
              <w:lastRenderedPageBreak/>
              <w:t xml:space="preserve">directs notified) </w:t>
            </w:r>
          </w:p>
        </w:tc>
        <w:tc>
          <w:tcPr>
            <w:tcW w:w="1685" w:type="dxa"/>
            <w:shd w:val="clear" w:color="auto" w:fill="FFCC99"/>
          </w:tcPr>
          <w:p w14:paraId="55563A0B" w14:textId="77777777" w:rsidR="000C5EA6" w:rsidRPr="009806EB" w:rsidRDefault="000C5EA6" w:rsidP="00D77FE0">
            <w:pPr>
              <w:pStyle w:val="ListParagraph"/>
              <w:numPr>
                <w:ilvl w:val="0"/>
                <w:numId w:val="28"/>
              </w:numPr>
              <w:tabs>
                <w:tab w:val="left" w:pos="284"/>
              </w:tabs>
              <w:ind w:left="357" w:hanging="357"/>
            </w:pPr>
            <w:r w:rsidRPr="009806EB">
              <w:lastRenderedPageBreak/>
              <w:t>Any manner after being passed at public auction on two occasions, at least 14 days apart</w:t>
            </w:r>
          </w:p>
          <w:p w14:paraId="67FD8F83" w14:textId="77777777" w:rsidR="000C5EA6" w:rsidRPr="009806EB" w:rsidRDefault="000C5EA6" w:rsidP="00D77FE0">
            <w:pPr>
              <w:pStyle w:val="ListParagraph"/>
              <w:numPr>
                <w:ilvl w:val="0"/>
                <w:numId w:val="28"/>
              </w:numPr>
              <w:tabs>
                <w:tab w:val="left" w:pos="284"/>
              </w:tabs>
              <w:ind w:left="357" w:hanging="357"/>
            </w:pPr>
            <w:r w:rsidRPr="009806EB">
              <w:t>Appointed by court</w:t>
            </w:r>
          </w:p>
          <w:p w14:paraId="0577746D" w14:textId="77777777" w:rsidR="000C5EA6" w:rsidRPr="009806EB" w:rsidRDefault="000C5EA6" w:rsidP="00D77FE0">
            <w:pPr>
              <w:pStyle w:val="ListParagraph"/>
              <w:numPr>
                <w:ilvl w:val="0"/>
                <w:numId w:val="28"/>
              </w:numPr>
              <w:tabs>
                <w:tab w:val="left" w:pos="284"/>
              </w:tabs>
              <w:ind w:left="357" w:hanging="357"/>
            </w:pPr>
            <w:r w:rsidRPr="009806EB">
              <w:t>Public auction OR private sale is accepted  (after due process)</w:t>
            </w:r>
          </w:p>
        </w:tc>
        <w:tc>
          <w:tcPr>
            <w:tcW w:w="1685" w:type="dxa"/>
            <w:shd w:val="clear" w:color="auto" w:fill="FF9999"/>
          </w:tcPr>
          <w:p w14:paraId="52BA3949" w14:textId="77777777" w:rsidR="000C5EA6" w:rsidRPr="009806EB" w:rsidRDefault="000C5EA6" w:rsidP="00D77FE0">
            <w:pPr>
              <w:pStyle w:val="ListParagraph"/>
              <w:numPr>
                <w:ilvl w:val="0"/>
                <w:numId w:val="28"/>
              </w:numPr>
              <w:tabs>
                <w:tab w:val="left" w:pos="284"/>
              </w:tabs>
              <w:ind w:left="357" w:hanging="357"/>
            </w:pPr>
            <w:r w:rsidRPr="009806EB">
              <w:t>Any manner</w:t>
            </w:r>
          </w:p>
          <w:p w14:paraId="4D348E7E" w14:textId="77777777" w:rsidR="000C5EA6" w:rsidRPr="009806EB" w:rsidRDefault="000C5EA6" w:rsidP="00D77FE0">
            <w:pPr>
              <w:pStyle w:val="ListParagraph"/>
              <w:numPr>
                <w:ilvl w:val="0"/>
                <w:numId w:val="28"/>
              </w:numPr>
              <w:tabs>
                <w:tab w:val="left" w:pos="284"/>
              </w:tabs>
              <w:ind w:left="357" w:hanging="357"/>
            </w:pPr>
            <w:r w:rsidRPr="009806EB">
              <w:t>Any manner</w:t>
            </w:r>
          </w:p>
          <w:p w14:paraId="744B63F8" w14:textId="77777777" w:rsidR="000C5EA6" w:rsidRPr="009806EB" w:rsidRDefault="000C5EA6" w:rsidP="00D77FE0">
            <w:pPr>
              <w:pStyle w:val="ListParagraph"/>
              <w:numPr>
                <w:ilvl w:val="0"/>
                <w:numId w:val="28"/>
              </w:numPr>
              <w:tabs>
                <w:tab w:val="left" w:pos="284"/>
              </w:tabs>
              <w:ind w:left="357" w:hanging="357"/>
            </w:pPr>
            <w:r w:rsidRPr="009806EB">
              <w:t xml:space="preserve">Public Auction, advertised 7 days in advance, if passed at auction, any manner </w:t>
            </w:r>
          </w:p>
        </w:tc>
        <w:tc>
          <w:tcPr>
            <w:tcW w:w="1684" w:type="dxa"/>
            <w:shd w:val="clear" w:color="auto" w:fill="E0C1ED" w:themeFill="text2" w:themeFillTint="33"/>
          </w:tcPr>
          <w:p w14:paraId="0B470607" w14:textId="77777777" w:rsidR="000C5EA6" w:rsidRPr="009806EB" w:rsidRDefault="000C5EA6" w:rsidP="00D77FE0">
            <w:pPr>
              <w:pStyle w:val="ListParagraph"/>
              <w:numPr>
                <w:ilvl w:val="0"/>
                <w:numId w:val="28"/>
              </w:numPr>
              <w:tabs>
                <w:tab w:val="left" w:pos="284"/>
              </w:tabs>
              <w:ind w:left="357" w:hanging="357"/>
            </w:pPr>
            <w:r w:rsidRPr="009806EB">
              <w:t>Public auction, must be advertised</w:t>
            </w:r>
          </w:p>
        </w:tc>
        <w:tc>
          <w:tcPr>
            <w:tcW w:w="1685" w:type="dxa"/>
            <w:shd w:val="clear" w:color="auto" w:fill="FFFFCC"/>
          </w:tcPr>
          <w:p w14:paraId="3EBEE16E" w14:textId="77777777" w:rsidR="000C5EA6" w:rsidRPr="009806EB" w:rsidRDefault="000C5EA6" w:rsidP="00D77FE0">
            <w:pPr>
              <w:pStyle w:val="ListParagraph"/>
              <w:numPr>
                <w:ilvl w:val="0"/>
                <w:numId w:val="28"/>
              </w:numPr>
              <w:tabs>
                <w:tab w:val="left" w:pos="284"/>
              </w:tabs>
              <w:ind w:left="357" w:hanging="357"/>
              <w:rPr>
                <w:b/>
              </w:rPr>
            </w:pPr>
            <w:r w:rsidRPr="009806EB">
              <w:t>Public auction</w:t>
            </w:r>
          </w:p>
        </w:tc>
        <w:tc>
          <w:tcPr>
            <w:tcW w:w="1685" w:type="dxa"/>
            <w:shd w:val="clear" w:color="auto" w:fill="D9D9D9" w:themeFill="background1" w:themeFillShade="D9"/>
          </w:tcPr>
          <w:p w14:paraId="3BDB1D37" w14:textId="77777777" w:rsidR="000C5EA6" w:rsidRPr="009806EB" w:rsidRDefault="000C5EA6" w:rsidP="00D77FE0">
            <w:pPr>
              <w:pStyle w:val="ListParagraph"/>
              <w:numPr>
                <w:ilvl w:val="0"/>
                <w:numId w:val="28"/>
              </w:numPr>
              <w:tabs>
                <w:tab w:val="left" w:pos="284"/>
              </w:tabs>
              <w:ind w:left="357" w:hanging="357"/>
            </w:pPr>
            <w:r w:rsidRPr="009806EB">
              <w:t xml:space="preserve">Any manner </w:t>
            </w:r>
          </w:p>
          <w:p w14:paraId="5FFCA22B" w14:textId="77777777" w:rsidR="000C5EA6" w:rsidRPr="009806EB" w:rsidRDefault="000C5EA6" w:rsidP="00D77FE0">
            <w:pPr>
              <w:pStyle w:val="ListParagraph"/>
              <w:numPr>
                <w:ilvl w:val="0"/>
                <w:numId w:val="28"/>
              </w:numPr>
              <w:tabs>
                <w:tab w:val="left" w:pos="284"/>
              </w:tabs>
              <w:ind w:left="357" w:hanging="357"/>
            </w:pPr>
            <w:r w:rsidRPr="009806EB">
              <w:t>Public auction or private sale</w:t>
            </w:r>
          </w:p>
          <w:p w14:paraId="79E627A1" w14:textId="77777777" w:rsidR="000C5EA6" w:rsidRPr="009806EB" w:rsidRDefault="000C5EA6" w:rsidP="00D77FE0">
            <w:pPr>
              <w:pStyle w:val="ListParagraph"/>
              <w:numPr>
                <w:ilvl w:val="0"/>
                <w:numId w:val="28"/>
              </w:numPr>
              <w:tabs>
                <w:tab w:val="left" w:pos="284"/>
              </w:tabs>
              <w:ind w:left="357" w:hanging="357"/>
            </w:pPr>
            <w:r w:rsidRPr="009806EB">
              <w:t>Public auction or private sale</w:t>
            </w:r>
          </w:p>
          <w:p w14:paraId="0D8B4DCB" w14:textId="77777777" w:rsidR="000C5EA6" w:rsidRPr="009806EB" w:rsidRDefault="000C5EA6" w:rsidP="00D77FE0">
            <w:pPr>
              <w:pStyle w:val="ListParagraph"/>
              <w:numPr>
                <w:ilvl w:val="0"/>
                <w:numId w:val="28"/>
              </w:numPr>
              <w:tabs>
                <w:tab w:val="left" w:pos="284"/>
              </w:tabs>
              <w:ind w:left="357" w:hanging="357"/>
            </w:pPr>
            <w:r w:rsidRPr="009806EB">
              <w:t>According to court order</w:t>
            </w:r>
          </w:p>
        </w:tc>
      </w:tr>
      <w:tr w:rsidR="003723A4" w:rsidRPr="009806EB" w14:paraId="20687962" w14:textId="77777777" w:rsidTr="00DA5FFF">
        <w:trPr>
          <w:cantSplit/>
        </w:trPr>
        <w:tc>
          <w:tcPr>
            <w:tcW w:w="1684" w:type="dxa"/>
          </w:tcPr>
          <w:p w14:paraId="668A2DA0" w14:textId="77777777" w:rsidR="000C5EA6" w:rsidRPr="009806EB" w:rsidRDefault="000C5EA6" w:rsidP="00D77FE0">
            <w:pPr>
              <w:pStyle w:val="OutlineNumbered1"/>
              <w:numPr>
                <w:ilvl w:val="0"/>
                <w:numId w:val="0"/>
              </w:numPr>
              <w:tabs>
                <w:tab w:val="left" w:pos="284"/>
              </w:tabs>
            </w:pPr>
            <w:r w:rsidRPr="009806EB">
              <w:t>Perishable Goods</w:t>
            </w:r>
          </w:p>
          <w:p w14:paraId="5E052FBC" w14:textId="77777777" w:rsidR="000C5EA6" w:rsidRPr="009806EB" w:rsidRDefault="000C5EA6" w:rsidP="00D77FE0">
            <w:pPr>
              <w:pStyle w:val="OutlineNumbered1"/>
              <w:numPr>
                <w:ilvl w:val="0"/>
                <w:numId w:val="0"/>
              </w:numPr>
              <w:tabs>
                <w:tab w:val="left" w:pos="284"/>
              </w:tabs>
            </w:pPr>
          </w:p>
          <w:p w14:paraId="7E972FAB" w14:textId="7CA94121" w:rsidR="000C5EA6" w:rsidRPr="009806EB" w:rsidRDefault="000C5EA6" w:rsidP="00E857C0">
            <w:pPr>
              <w:pStyle w:val="OutlineNumbered1"/>
              <w:numPr>
                <w:ilvl w:val="0"/>
                <w:numId w:val="0"/>
              </w:numPr>
              <w:tabs>
                <w:tab w:val="left" w:pos="284"/>
              </w:tabs>
            </w:pPr>
          </w:p>
        </w:tc>
        <w:tc>
          <w:tcPr>
            <w:tcW w:w="1685" w:type="dxa"/>
            <w:shd w:val="clear" w:color="auto" w:fill="DFEBCE" w:themeFill="accent4" w:themeFillTint="33"/>
          </w:tcPr>
          <w:p w14:paraId="090CABAF" w14:textId="77777777" w:rsidR="000C5EA6" w:rsidRPr="009806EB" w:rsidRDefault="000C5EA6" w:rsidP="00D77FE0">
            <w:pPr>
              <w:pStyle w:val="ListParagraph"/>
              <w:numPr>
                <w:ilvl w:val="0"/>
                <w:numId w:val="28"/>
              </w:numPr>
              <w:tabs>
                <w:tab w:val="left" w:pos="284"/>
              </w:tabs>
              <w:ind w:left="357" w:hanging="357"/>
              <w:rPr>
                <w:b/>
              </w:rPr>
            </w:pPr>
            <w:r w:rsidRPr="009806EB">
              <w:t>Oral or written notice must be given, along with reasonable opportunity to collect, goods can be disposed of in any manner</w:t>
            </w:r>
          </w:p>
        </w:tc>
        <w:tc>
          <w:tcPr>
            <w:tcW w:w="1685" w:type="dxa"/>
            <w:shd w:val="clear" w:color="auto" w:fill="F8E2CF" w:themeFill="accent2" w:themeFillTint="33"/>
          </w:tcPr>
          <w:p w14:paraId="46231617" w14:textId="77777777" w:rsidR="000C5EA6" w:rsidRPr="009806EB" w:rsidRDefault="000C5EA6" w:rsidP="00D77FE0">
            <w:pPr>
              <w:pStyle w:val="ListParagraph"/>
              <w:numPr>
                <w:ilvl w:val="0"/>
                <w:numId w:val="28"/>
              </w:numPr>
              <w:tabs>
                <w:tab w:val="left" w:pos="284"/>
              </w:tabs>
              <w:ind w:left="357" w:hanging="357"/>
            </w:pPr>
            <w:r w:rsidRPr="009806EB">
              <w:t>If goods have perished, a business can dispose of them, oral or written notice must be given that the goods have been disposed of</w:t>
            </w:r>
          </w:p>
          <w:p w14:paraId="4B134F11" w14:textId="77777777" w:rsidR="000C5EA6" w:rsidRPr="009806EB" w:rsidRDefault="000C5EA6" w:rsidP="00D77FE0">
            <w:pPr>
              <w:pStyle w:val="ListParagraph"/>
              <w:numPr>
                <w:ilvl w:val="0"/>
                <w:numId w:val="28"/>
              </w:numPr>
              <w:tabs>
                <w:tab w:val="left" w:pos="284"/>
              </w:tabs>
              <w:ind w:left="357" w:hanging="357"/>
            </w:pPr>
            <w:r w:rsidRPr="009806EB">
              <w:t>If the goods have not perished a business must tell bailor oral or in writing that they intend to dispose of the goods, and give the person reasonable time to collect</w:t>
            </w:r>
          </w:p>
        </w:tc>
        <w:tc>
          <w:tcPr>
            <w:tcW w:w="1684" w:type="dxa"/>
            <w:shd w:val="clear" w:color="auto" w:fill="C0E4F7" w:themeFill="accent5" w:themeFillTint="33"/>
          </w:tcPr>
          <w:p w14:paraId="3ECD096E" w14:textId="77777777" w:rsidR="000C5EA6" w:rsidRPr="009806EB" w:rsidRDefault="000C5EA6" w:rsidP="00D77FE0">
            <w:pPr>
              <w:pStyle w:val="ListParagraph"/>
              <w:numPr>
                <w:ilvl w:val="0"/>
                <w:numId w:val="28"/>
              </w:numPr>
              <w:tabs>
                <w:tab w:val="left" w:pos="284"/>
              </w:tabs>
              <w:ind w:left="357" w:hanging="357"/>
            </w:pPr>
            <w:r w:rsidRPr="009806EB">
              <w:t>No mention</w:t>
            </w:r>
          </w:p>
        </w:tc>
        <w:tc>
          <w:tcPr>
            <w:tcW w:w="1685" w:type="dxa"/>
            <w:shd w:val="clear" w:color="auto" w:fill="FFCC99"/>
          </w:tcPr>
          <w:p w14:paraId="5AEF9B06" w14:textId="77777777" w:rsidR="000C5EA6" w:rsidRPr="009806EB" w:rsidRDefault="000C5EA6" w:rsidP="00D77FE0">
            <w:pPr>
              <w:pStyle w:val="ListParagraph"/>
              <w:numPr>
                <w:ilvl w:val="0"/>
                <w:numId w:val="28"/>
              </w:numPr>
              <w:tabs>
                <w:tab w:val="left" w:pos="284"/>
              </w:tabs>
              <w:ind w:left="357" w:hanging="357"/>
            </w:pPr>
            <w:r w:rsidRPr="009806EB">
              <w:t>No mention</w:t>
            </w:r>
          </w:p>
        </w:tc>
        <w:tc>
          <w:tcPr>
            <w:tcW w:w="1685" w:type="dxa"/>
            <w:shd w:val="clear" w:color="auto" w:fill="FF9999"/>
          </w:tcPr>
          <w:p w14:paraId="351B1BC2" w14:textId="77777777" w:rsidR="000C5EA6" w:rsidRPr="009806EB" w:rsidRDefault="000C5EA6" w:rsidP="00D77FE0">
            <w:pPr>
              <w:pStyle w:val="ListParagraph"/>
              <w:numPr>
                <w:ilvl w:val="0"/>
                <w:numId w:val="28"/>
              </w:numPr>
              <w:tabs>
                <w:tab w:val="left" w:pos="284"/>
              </w:tabs>
              <w:ind w:left="357" w:hanging="357"/>
            </w:pPr>
            <w:r w:rsidRPr="009806EB">
              <w:t xml:space="preserve">Immediate disposal </w:t>
            </w:r>
          </w:p>
        </w:tc>
        <w:tc>
          <w:tcPr>
            <w:tcW w:w="1684" w:type="dxa"/>
            <w:shd w:val="clear" w:color="auto" w:fill="E0C1ED" w:themeFill="text2" w:themeFillTint="33"/>
          </w:tcPr>
          <w:p w14:paraId="6C04AE80" w14:textId="77777777" w:rsidR="000C5EA6" w:rsidRPr="009806EB" w:rsidRDefault="000C5EA6" w:rsidP="00D77FE0">
            <w:pPr>
              <w:pStyle w:val="ListParagraph"/>
              <w:numPr>
                <w:ilvl w:val="0"/>
                <w:numId w:val="28"/>
              </w:numPr>
              <w:tabs>
                <w:tab w:val="left" w:pos="284"/>
              </w:tabs>
              <w:ind w:left="357" w:hanging="357"/>
            </w:pPr>
            <w:r w:rsidRPr="009806EB">
              <w:t>No mention</w:t>
            </w:r>
          </w:p>
        </w:tc>
        <w:tc>
          <w:tcPr>
            <w:tcW w:w="1685" w:type="dxa"/>
            <w:shd w:val="clear" w:color="auto" w:fill="FFFFCC"/>
          </w:tcPr>
          <w:p w14:paraId="0AA75A37" w14:textId="77777777" w:rsidR="000C5EA6" w:rsidRPr="009806EB" w:rsidRDefault="000C5EA6" w:rsidP="00D77FE0">
            <w:pPr>
              <w:pStyle w:val="ListParagraph"/>
              <w:numPr>
                <w:ilvl w:val="0"/>
                <w:numId w:val="28"/>
              </w:numPr>
              <w:tabs>
                <w:tab w:val="left" w:pos="284"/>
              </w:tabs>
              <w:ind w:left="357" w:hanging="357"/>
            </w:pPr>
            <w:r w:rsidRPr="009806EB">
              <w:t>No mention</w:t>
            </w:r>
          </w:p>
        </w:tc>
        <w:tc>
          <w:tcPr>
            <w:tcW w:w="1685" w:type="dxa"/>
            <w:shd w:val="clear" w:color="auto" w:fill="D9D9D9" w:themeFill="background1" w:themeFillShade="D9"/>
          </w:tcPr>
          <w:p w14:paraId="513CB13E" w14:textId="77777777" w:rsidR="000C5EA6" w:rsidRPr="009806EB" w:rsidRDefault="000C5EA6" w:rsidP="00D77FE0">
            <w:pPr>
              <w:pStyle w:val="ListParagraph"/>
              <w:numPr>
                <w:ilvl w:val="0"/>
                <w:numId w:val="28"/>
              </w:numPr>
              <w:tabs>
                <w:tab w:val="left" w:pos="284"/>
              </w:tabs>
              <w:ind w:left="357" w:hanging="357"/>
            </w:pPr>
            <w:r w:rsidRPr="009806EB">
              <w:t xml:space="preserve">Dispose by sale, appropriation or destruction, give notice, and allow reasonable time for collection </w:t>
            </w:r>
          </w:p>
        </w:tc>
      </w:tr>
    </w:tbl>
    <w:p w14:paraId="166D93F7" w14:textId="77777777" w:rsidR="00C56609" w:rsidRPr="00DA5FFF" w:rsidRDefault="00C56609">
      <w:pPr>
        <w:rPr>
          <w:sz w:val="4"/>
          <w:szCs w:val="4"/>
        </w:rPr>
      </w:pPr>
      <w:r>
        <w:br w:type="page"/>
      </w:r>
    </w:p>
    <w:tbl>
      <w:tblPr>
        <w:tblStyle w:val="TableGrid"/>
        <w:tblW w:w="15162" w:type="dxa"/>
        <w:tblLayout w:type="fixed"/>
        <w:tblLook w:val="04A0" w:firstRow="1" w:lastRow="0" w:firstColumn="1" w:lastColumn="0" w:noHBand="0" w:noVBand="1"/>
      </w:tblPr>
      <w:tblGrid>
        <w:gridCol w:w="1684"/>
        <w:gridCol w:w="1685"/>
        <w:gridCol w:w="1685"/>
        <w:gridCol w:w="1684"/>
        <w:gridCol w:w="1685"/>
        <w:gridCol w:w="1685"/>
        <w:gridCol w:w="1684"/>
        <w:gridCol w:w="1685"/>
        <w:gridCol w:w="1685"/>
      </w:tblGrid>
      <w:tr w:rsidR="00DA5FFF" w:rsidRPr="009806EB" w14:paraId="37E1DCA6" w14:textId="77777777" w:rsidTr="00DA5FFF">
        <w:trPr>
          <w:tblHeader/>
        </w:trPr>
        <w:tc>
          <w:tcPr>
            <w:tcW w:w="1684" w:type="dxa"/>
            <w:vAlign w:val="center"/>
          </w:tcPr>
          <w:p w14:paraId="645F7497" w14:textId="77777777" w:rsidR="00DA5FFF" w:rsidRDefault="00DA5FFF" w:rsidP="00DA5FFF">
            <w:pPr>
              <w:pStyle w:val="OutlineNumbered1"/>
              <w:numPr>
                <w:ilvl w:val="0"/>
                <w:numId w:val="0"/>
              </w:numPr>
              <w:tabs>
                <w:tab w:val="left" w:pos="284"/>
              </w:tabs>
              <w:spacing w:after="0" w:line="240" w:lineRule="auto"/>
              <w:jc w:val="center"/>
              <w:rPr>
                <w:rFonts w:eastAsiaTheme="minorEastAsia"/>
                <w:sz w:val="24"/>
                <w:szCs w:val="24"/>
                <w:lang w:val="en-US"/>
              </w:rPr>
            </w:pPr>
          </w:p>
        </w:tc>
        <w:tc>
          <w:tcPr>
            <w:tcW w:w="1685" w:type="dxa"/>
            <w:shd w:val="clear" w:color="auto" w:fill="DFEBCE" w:themeFill="accent4" w:themeFillTint="33"/>
          </w:tcPr>
          <w:p w14:paraId="3D089E9F" w14:textId="1FC0EBB3" w:rsidR="00DA5FFF" w:rsidRPr="00DA5FFF" w:rsidRDefault="00DA5FFF" w:rsidP="00DA5FFF">
            <w:pPr>
              <w:tabs>
                <w:tab w:val="left" w:pos="284"/>
              </w:tabs>
              <w:jc w:val="center"/>
            </w:pPr>
            <w:r w:rsidRPr="00DA5FFF">
              <w:rPr>
                <w:b/>
              </w:rPr>
              <w:t>NSW</w:t>
            </w:r>
          </w:p>
        </w:tc>
        <w:tc>
          <w:tcPr>
            <w:tcW w:w="1685" w:type="dxa"/>
            <w:shd w:val="clear" w:color="auto" w:fill="F8E2CF" w:themeFill="accent2" w:themeFillTint="33"/>
          </w:tcPr>
          <w:p w14:paraId="0EBA0478" w14:textId="471F063F" w:rsidR="00DA5FFF" w:rsidRPr="00DA5FFF" w:rsidRDefault="00DA5FFF" w:rsidP="00DA5FFF">
            <w:pPr>
              <w:tabs>
                <w:tab w:val="left" w:pos="284"/>
              </w:tabs>
              <w:jc w:val="center"/>
            </w:pPr>
            <w:r w:rsidRPr="00DA5FFF">
              <w:rPr>
                <w:b/>
              </w:rPr>
              <w:t>Vic</w:t>
            </w:r>
          </w:p>
        </w:tc>
        <w:tc>
          <w:tcPr>
            <w:tcW w:w="1684" w:type="dxa"/>
            <w:shd w:val="clear" w:color="auto" w:fill="C0E4F7" w:themeFill="accent5" w:themeFillTint="33"/>
          </w:tcPr>
          <w:p w14:paraId="114A26BF" w14:textId="0C3F7F06" w:rsidR="00DA5FFF" w:rsidRPr="00DA5FFF" w:rsidRDefault="00DA5FFF" w:rsidP="00DA5FFF">
            <w:pPr>
              <w:tabs>
                <w:tab w:val="left" w:pos="284"/>
              </w:tabs>
              <w:jc w:val="center"/>
            </w:pPr>
            <w:r w:rsidRPr="00DA5FFF">
              <w:rPr>
                <w:b/>
              </w:rPr>
              <w:t>SA</w:t>
            </w:r>
          </w:p>
        </w:tc>
        <w:tc>
          <w:tcPr>
            <w:tcW w:w="1685" w:type="dxa"/>
            <w:shd w:val="clear" w:color="auto" w:fill="FFCC99"/>
          </w:tcPr>
          <w:p w14:paraId="64BD14DF" w14:textId="7AF8BE60" w:rsidR="00DA5FFF" w:rsidRPr="00DA5FFF" w:rsidRDefault="00DA5FFF" w:rsidP="00DA5FFF">
            <w:pPr>
              <w:tabs>
                <w:tab w:val="left" w:pos="284"/>
              </w:tabs>
              <w:jc w:val="center"/>
            </w:pPr>
            <w:r w:rsidRPr="00DA5FFF">
              <w:rPr>
                <w:b/>
              </w:rPr>
              <w:t>WA</w:t>
            </w:r>
          </w:p>
        </w:tc>
        <w:tc>
          <w:tcPr>
            <w:tcW w:w="1685" w:type="dxa"/>
            <w:shd w:val="clear" w:color="auto" w:fill="FF9999"/>
          </w:tcPr>
          <w:p w14:paraId="44D6A4A6" w14:textId="33AC67BB" w:rsidR="00DA5FFF" w:rsidRPr="00DA5FFF" w:rsidRDefault="00DA5FFF" w:rsidP="00DA5FFF">
            <w:pPr>
              <w:tabs>
                <w:tab w:val="left" w:pos="284"/>
              </w:tabs>
              <w:jc w:val="center"/>
            </w:pPr>
            <w:r w:rsidRPr="00DA5FFF">
              <w:rPr>
                <w:b/>
              </w:rPr>
              <w:t>ACT</w:t>
            </w:r>
          </w:p>
        </w:tc>
        <w:tc>
          <w:tcPr>
            <w:tcW w:w="1684" w:type="dxa"/>
            <w:shd w:val="clear" w:color="auto" w:fill="E0C1ED" w:themeFill="text2" w:themeFillTint="33"/>
          </w:tcPr>
          <w:p w14:paraId="797754E2" w14:textId="78143856" w:rsidR="00DA5FFF" w:rsidRPr="00DA5FFF" w:rsidRDefault="00DA5FFF" w:rsidP="00DA5FFF">
            <w:pPr>
              <w:tabs>
                <w:tab w:val="left" w:pos="284"/>
              </w:tabs>
              <w:jc w:val="center"/>
            </w:pPr>
            <w:r w:rsidRPr="00DA5FFF">
              <w:rPr>
                <w:b/>
              </w:rPr>
              <w:t>Qld</w:t>
            </w:r>
          </w:p>
        </w:tc>
        <w:tc>
          <w:tcPr>
            <w:tcW w:w="1685" w:type="dxa"/>
            <w:shd w:val="clear" w:color="auto" w:fill="FFFFCC"/>
          </w:tcPr>
          <w:p w14:paraId="72006779" w14:textId="3AC23F6B" w:rsidR="00DA5FFF" w:rsidRPr="00DA5FFF" w:rsidRDefault="00DA5FFF" w:rsidP="00DA5FFF">
            <w:pPr>
              <w:tabs>
                <w:tab w:val="left" w:pos="284"/>
              </w:tabs>
              <w:jc w:val="center"/>
            </w:pPr>
            <w:proofErr w:type="spellStart"/>
            <w:r w:rsidRPr="00DA5FFF">
              <w:rPr>
                <w:b/>
              </w:rPr>
              <w:t>Tas</w:t>
            </w:r>
            <w:proofErr w:type="spellEnd"/>
          </w:p>
        </w:tc>
        <w:tc>
          <w:tcPr>
            <w:tcW w:w="1685" w:type="dxa"/>
            <w:shd w:val="clear" w:color="auto" w:fill="D9D9D9" w:themeFill="background1" w:themeFillShade="D9"/>
          </w:tcPr>
          <w:p w14:paraId="148E7316" w14:textId="4907AF3B" w:rsidR="00DA5FFF" w:rsidRPr="00DA5FFF" w:rsidRDefault="00DA5FFF" w:rsidP="00DA5FFF">
            <w:pPr>
              <w:tabs>
                <w:tab w:val="left" w:pos="284"/>
              </w:tabs>
              <w:jc w:val="center"/>
            </w:pPr>
            <w:r w:rsidRPr="00DA5FFF">
              <w:rPr>
                <w:b/>
              </w:rPr>
              <w:t>NT</w:t>
            </w:r>
          </w:p>
        </w:tc>
      </w:tr>
      <w:tr w:rsidR="003723A4" w:rsidRPr="009806EB" w14:paraId="7A2464D8" w14:textId="77777777" w:rsidTr="00DA5FFF">
        <w:tc>
          <w:tcPr>
            <w:tcW w:w="1684" w:type="dxa"/>
          </w:tcPr>
          <w:p w14:paraId="60587A31" w14:textId="7108E9E1" w:rsidR="000C5EA6" w:rsidRPr="009806EB" w:rsidRDefault="009806EB" w:rsidP="00C56609">
            <w:pPr>
              <w:pStyle w:val="OutlineNumbered1"/>
              <w:numPr>
                <w:ilvl w:val="0"/>
                <w:numId w:val="0"/>
              </w:numPr>
              <w:tabs>
                <w:tab w:val="left" w:pos="284"/>
              </w:tabs>
              <w:spacing w:after="0" w:line="240" w:lineRule="auto"/>
              <w:ind w:left="520" w:hanging="520"/>
            </w:pPr>
            <w:r>
              <w:rPr>
                <w:rFonts w:eastAsiaTheme="minorEastAsia"/>
                <w:sz w:val="24"/>
                <w:szCs w:val="24"/>
                <w:lang w:val="en-US"/>
              </w:rPr>
              <w:br w:type="page"/>
            </w:r>
            <w:r w:rsidR="000C5EA6" w:rsidRPr="009806EB">
              <w:t>Motor Vehicles</w:t>
            </w:r>
          </w:p>
          <w:p w14:paraId="415F20BA" w14:textId="3F84A108" w:rsidR="000C5EA6" w:rsidRPr="009806EB" w:rsidRDefault="000C5EA6" w:rsidP="00D77FE0">
            <w:pPr>
              <w:pStyle w:val="OutlineNumbered1"/>
              <w:numPr>
                <w:ilvl w:val="0"/>
                <w:numId w:val="0"/>
              </w:numPr>
              <w:tabs>
                <w:tab w:val="left" w:pos="284"/>
              </w:tabs>
            </w:pPr>
          </w:p>
          <w:p w14:paraId="5E228D91" w14:textId="69FE2094" w:rsidR="00C619DA" w:rsidRPr="009806EB" w:rsidRDefault="00C619DA" w:rsidP="00D77FE0">
            <w:pPr>
              <w:pStyle w:val="OutlineNumbered1"/>
              <w:numPr>
                <w:ilvl w:val="0"/>
                <w:numId w:val="0"/>
              </w:numPr>
              <w:tabs>
                <w:tab w:val="left" w:pos="284"/>
              </w:tabs>
            </w:pPr>
          </w:p>
          <w:p w14:paraId="5534B41E" w14:textId="7D690F26" w:rsidR="00C619DA" w:rsidRPr="009806EB" w:rsidRDefault="00C619DA" w:rsidP="00D77FE0">
            <w:pPr>
              <w:pStyle w:val="OutlineNumbered1"/>
              <w:numPr>
                <w:ilvl w:val="0"/>
                <w:numId w:val="0"/>
              </w:numPr>
              <w:tabs>
                <w:tab w:val="left" w:pos="284"/>
              </w:tabs>
            </w:pPr>
          </w:p>
          <w:p w14:paraId="6058112C" w14:textId="77777777" w:rsidR="00C619DA" w:rsidRPr="009806EB" w:rsidRDefault="00C619DA" w:rsidP="00D77FE0">
            <w:pPr>
              <w:pStyle w:val="OutlineNumbered1"/>
              <w:numPr>
                <w:ilvl w:val="0"/>
                <w:numId w:val="0"/>
              </w:numPr>
              <w:tabs>
                <w:tab w:val="left" w:pos="284"/>
              </w:tabs>
            </w:pPr>
          </w:p>
          <w:p w14:paraId="79776851" w14:textId="7A714A6D" w:rsidR="000C5EA6" w:rsidRPr="009806EB" w:rsidRDefault="000C5EA6" w:rsidP="00D77FE0">
            <w:pPr>
              <w:pStyle w:val="OutlineNumbered1"/>
              <w:numPr>
                <w:ilvl w:val="0"/>
                <w:numId w:val="0"/>
              </w:numPr>
              <w:tabs>
                <w:tab w:val="left" w:pos="284"/>
              </w:tabs>
            </w:pPr>
          </w:p>
        </w:tc>
        <w:tc>
          <w:tcPr>
            <w:tcW w:w="1685" w:type="dxa"/>
            <w:shd w:val="clear" w:color="auto" w:fill="DFEBCE" w:themeFill="accent4" w:themeFillTint="33"/>
          </w:tcPr>
          <w:p w14:paraId="74E9E914" w14:textId="77777777" w:rsidR="000C5EA6" w:rsidRPr="009806EB" w:rsidRDefault="000C5EA6" w:rsidP="00D77FE0">
            <w:pPr>
              <w:pStyle w:val="ListParagraph"/>
              <w:numPr>
                <w:ilvl w:val="0"/>
                <w:numId w:val="28"/>
              </w:numPr>
              <w:tabs>
                <w:tab w:val="left" w:pos="284"/>
              </w:tabs>
              <w:ind w:left="357" w:hanging="357"/>
            </w:pPr>
            <w:r w:rsidRPr="009806EB">
              <w:t>Must have permission from Commissioner of Police that the vehicle is not recorded as stolen, at least 28 days before sale of vehicle</w:t>
            </w:r>
          </w:p>
        </w:tc>
        <w:tc>
          <w:tcPr>
            <w:tcW w:w="1685" w:type="dxa"/>
            <w:shd w:val="clear" w:color="auto" w:fill="F8E2CF" w:themeFill="accent2" w:themeFillTint="33"/>
          </w:tcPr>
          <w:p w14:paraId="2EBE3A59" w14:textId="77777777" w:rsidR="00C56609" w:rsidRDefault="000C5EA6" w:rsidP="00C56609">
            <w:pPr>
              <w:pStyle w:val="ListParagraph"/>
              <w:numPr>
                <w:ilvl w:val="0"/>
                <w:numId w:val="28"/>
              </w:numPr>
              <w:tabs>
                <w:tab w:val="left" w:pos="284"/>
              </w:tabs>
              <w:ind w:left="357" w:hanging="357"/>
            </w:pPr>
            <w:r w:rsidRPr="009806EB">
              <w:t>For vehicles worth less than $1,000, any manner is acceptable, however without a court order a receipt must be given to the buyer containing a set of information as provided on the consumer Vic website, no less than one month prior to sale written notice must be given to the Chief Commissioner of Police</w:t>
            </w:r>
          </w:p>
          <w:p w14:paraId="35C8E5B3" w14:textId="64ABD2AE" w:rsidR="00C56609" w:rsidRPr="00C56609" w:rsidRDefault="00C56609" w:rsidP="00C56609">
            <w:pPr>
              <w:pStyle w:val="ListParagraph"/>
              <w:numPr>
                <w:ilvl w:val="0"/>
                <w:numId w:val="28"/>
              </w:numPr>
              <w:tabs>
                <w:tab w:val="left" w:pos="284"/>
              </w:tabs>
              <w:ind w:left="357" w:hanging="357"/>
            </w:pPr>
            <w:r w:rsidRPr="00C56609">
              <w:t xml:space="preserve">For vehicles over $1,000, after the correct notices are followed it must be disposed of </w:t>
            </w:r>
            <w:r w:rsidRPr="00C56609">
              <w:lastRenderedPageBreak/>
              <w:t>in either a public auction or a private sale, as above, without a court order a receipt must be drafted and signed</w:t>
            </w:r>
          </w:p>
          <w:p w14:paraId="29D9D198" w14:textId="77777777" w:rsidR="00C56609" w:rsidRDefault="00C56609" w:rsidP="00C56609">
            <w:pPr>
              <w:pStyle w:val="ListParagraph"/>
              <w:numPr>
                <w:ilvl w:val="0"/>
                <w:numId w:val="0"/>
              </w:numPr>
              <w:tabs>
                <w:tab w:val="left" w:pos="284"/>
              </w:tabs>
              <w:ind w:left="357"/>
            </w:pPr>
          </w:p>
          <w:p w14:paraId="48153E22" w14:textId="77777777" w:rsidR="00C56609" w:rsidRDefault="00C56609" w:rsidP="00C56609">
            <w:pPr>
              <w:pStyle w:val="ListParagraph"/>
              <w:numPr>
                <w:ilvl w:val="0"/>
                <w:numId w:val="0"/>
              </w:numPr>
              <w:tabs>
                <w:tab w:val="left" w:pos="284"/>
              </w:tabs>
              <w:ind w:left="357"/>
            </w:pPr>
          </w:p>
          <w:p w14:paraId="000D3FCC" w14:textId="77777777" w:rsidR="00C56609" w:rsidRDefault="00C56609" w:rsidP="00C56609">
            <w:pPr>
              <w:pStyle w:val="ListParagraph"/>
              <w:numPr>
                <w:ilvl w:val="0"/>
                <w:numId w:val="0"/>
              </w:numPr>
              <w:tabs>
                <w:tab w:val="left" w:pos="284"/>
              </w:tabs>
              <w:ind w:left="357"/>
            </w:pPr>
          </w:p>
          <w:p w14:paraId="626AC9F2" w14:textId="77777777" w:rsidR="00C56609" w:rsidRDefault="00C56609" w:rsidP="00C56609">
            <w:pPr>
              <w:tabs>
                <w:tab w:val="left" w:pos="284"/>
              </w:tabs>
            </w:pPr>
          </w:p>
          <w:p w14:paraId="04FB7A14" w14:textId="77777777" w:rsidR="00C56609" w:rsidRDefault="00C56609" w:rsidP="00C56609">
            <w:pPr>
              <w:tabs>
                <w:tab w:val="left" w:pos="284"/>
              </w:tabs>
            </w:pPr>
          </w:p>
          <w:p w14:paraId="213C3AF3" w14:textId="59732E9F" w:rsidR="00C56609" w:rsidRPr="00C56609" w:rsidRDefault="00C56609" w:rsidP="00C56609">
            <w:pPr>
              <w:tabs>
                <w:tab w:val="left" w:pos="284"/>
              </w:tabs>
            </w:pPr>
          </w:p>
        </w:tc>
        <w:tc>
          <w:tcPr>
            <w:tcW w:w="1684" w:type="dxa"/>
            <w:shd w:val="clear" w:color="auto" w:fill="C0E4F7" w:themeFill="accent5" w:themeFillTint="33"/>
          </w:tcPr>
          <w:p w14:paraId="1EAE409D" w14:textId="77777777" w:rsidR="000C5EA6" w:rsidRPr="009806EB" w:rsidRDefault="000C5EA6" w:rsidP="00D77FE0">
            <w:pPr>
              <w:pStyle w:val="ListParagraph"/>
              <w:numPr>
                <w:ilvl w:val="0"/>
                <w:numId w:val="28"/>
              </w:numPr>
              <w:tabs>
                <w:tab w:val="left" w:pos="284"/>
              </w:tabs>
              <w:ind w:left="357" w:hanging="357"/>
            </w:pPr>
            <w:r w:rsidRPr="009806EB">
              <w:lastRenderedPageBreak/>
              <w:t xml:space="preserve">Mentioned in Road Traffic Act 1961, can be sold at public auction (if not sold at auction or proceeds will not cover the costs incurred in selling the vehicle, disposal by any method) after 1 month of publication of a notice to dispose of in a state newspaper </w:t>
            </w:r>
          </w:p>
        </w:tc>
        <w:tc>
          <w:tcPr>
            <w:tcW w:w="1685" w:type="dxa"/>
            <w:shd w:val="clear" w:color="auto" w:fill="FFCC99"/>
          </w:tcPr>
          <w:p w14:paraId="1DF193B0" w14:textId="77777777" w:rsidR="000C5EA6" w:rsidRPr="009806EB" w:rsidRDefault="000C5EA6" w:rsidP="00D77FE0">
            <w:pPr>
              <w:pStyle w:val="ListParagraph"/>
              <w:numPr>
                <w:ilvl w:val="0"/>
                <w:numId w:val="28"/>
              </w:numPr>
              <w:tabs>
                <w:tab w:val="left" w:pos="284"/>
              </w:tabs>
              <w:ind w:left="357" w:hanging="357"/>
            </w:pPr>
            <w:r w:rsidRPr="009806EB">
              <w:t>Following procedures according to classification of values, any vehicle less than $3,500 does not need a court order to be disposed for vehicles worth over $3,500 a court application for permission to get rid of it must be obtained</w:t>
            </w:r>
          </w:p>
        </w:tc>
        <w:tc>
          <w:tcPr>
            <w:tcW w:w="1685" w:type="dxa"/>
            <w:shd w:val="clear" w:color="auto" w:fill="FF9999"/>
          </w:tcPr>
          <w:p w14:paraId="57BB99CF" w14:textId="77777777" w:rsidR="000C5EA6" w:rsidRPr="009806EB" w:rsidRDefault="000C5EA6" w:rsidP="00D77FE0">
            <w:pPr>
              <w:pStyle w:val="ListParagraph"/>
              <w:numPr>
                <w:ilvl w:val="0"/>
                <w:numId w:val="28"/>
              </w:numPr>
              <w:tabs>
                <w:tab w:val="left" w:pos="284"/>
              </w:tabs>
              <w:ind w:left="357" w:hanging="357"/>
            </w:pPr>
            <w:r w:rsidRPr="009806EB">
              <w:t xml:space="preserve">Not specific, if on public land, vehicle is impounded </w:t>
            </w:r>
          </w:p>
        </w:tc>
        <w:tc>
          <w:tcPr>
            <w:tcW w:w="1684" w:type="dxa"/>
            <w:shd w:val="clear" w:color="auto" w:fill="E0C1ED" w:themeFill="text2" w:themeFillTint="33"/>
          </w:tcPr>
          <w:p w14:paraId="53086FFE" w14:textId="77777777" w:rsidR="000C5EA6" w:rsidRPr="009806EB" w:rsidRDefault="000C5EA6" w:rsidP="00D77FE0">
            <w:pPr>
              <w:pStyle w:val="ListParagraph"/>
              <w:numPr>
                <w:ilvl w:val="0"/>
                <w:numId w:val="28"/>
              </w:numPr>
              <w:tabs>
                <w:tab w:val="left" w:pos="284"/>
              </w:tabs>
              <w:ind w:left="357" w:hanging="357"/>
            </w:pPr>
            <w:r w:rsidRPr="009806EB">
              <w:t>As above, a sign must be displayed at the premises that says after 6 months the vehicle will be sold, notice must be given that the vehicle is ready for collection, a notice of intention to sell must be given and the notice must be published in a local, and state-wide newspaper and in the Queensland Government gazette, an application must also be made to court and the Commissioner of Police</w:t>
            </w:r>
          </w:p>
        </w:tc>
        <w:tc>
          <w:tcPr>
            <w:tcW w:w="1685" w:type="dxa"/>
            <w:shd w:val="clear" w:color="auto" w:fill="FFFFCC"/>
          </w:tcPr>
          <w:p w14:paraId="05BD3C4B" w14:textId="77777777" w:rsidR="000C5EA6" w:rsidRPr="009806EB" w:rsidRDefault="000C5EA6" w:rsidP="00D77FE0">
            <w:pPr>
              <w:pStyle w:val="ListParagraph"/>
              <w:numPr>
                <w:ilvl w:val="0"/>
                <w:numId w:val="28"/>
              </w:numPr>
              <w:tabs>
                <w:tab w:val="left" w:pos="284"/>
              </w:tabs>
              <w:ind w:left="357" w:hanging="357"/>
            </w:pPr>
            <w:r w:rsidRPr="009806EB">
              <w:t>After 6 months from the notice of intention to sell or otherwise dispose of the vehicle, a notice must be published in the Gazette</w:t>
            </w:r>
          </w:p>
        </w:tc>
        <w:tc>
          <w:tcPr>
            <w:tcW w:w="1685" w:type="dxa"/>
            <w:shd w:val="clear" w:color="auto" w:fill="D9D9D9" w:themeFill="background1" w:themeFillShade="D9"/>
          </w:tcPr>
          <w:p w14:paraId="47BEB4A1" w14:textId="77777777" w:rsidR="000C5EA6" w:rsidRPr="009806EB" w:rsidRDefault="000C5EA6" w:rsidP="00D77FE0">
            <w:pPr>
              <w:pStyle w:val="ListParagraph"/>
              <w:numPr>
                <w:ilvl w:val="0"/>
                <w:numId w:val="28"/>
              </w:numPr>
              <w:tabs>
                <w:tab w:val="left" w:pos="284"/>
              </w:tabs>
              <w:ind w:left="357" w:hanging="357"/>
            </w:pPr>
            <w:r w:rsidRPr="009806EB">
              <w:t xml:space="preserve">Follows the procedures according to the classification of value </w:t>
            </w:r>
          </w:p>
        </w:tc>
      </w:tr>
    </w:tbl>
    <w:p w14:paraId="435238B4" w14:textId="09BD3A03" w:rsidR="009D0BB8" w:rsidRDefault="009D0BB8" w:rsidP="00404029">
      <w:pPr>
        <w:rPr>
          <w:lang w:val="en-AU"/>
        </w:rPr>
      </w:pPr>
    </w:p>
    <w:p w14:paraId="53FF3B61" w14:textId="3A51AD07" w:rsidR="009D0BB8" w:rsidRDefault="009D0BB8" w:rsidP="00404029">
      <w:pPr>
        <w:rPr>
          <w:lang w:val="en-AU"/>
        </w:rPr>
      </w:pPr>
    </w:p>
    <w:p w14:paraId="67C06DCA" w14:textId="77777777" w:rsidR="009D0BB8" w:rsidRDefault="009D0BB8" w:rsidP="00404029">
      <w:pPr>
        <w:rPr>
          <w:lang w:val="en-AU"/>
        </w:rPr>
        <w:sectPr w:rsidR="009D0BB8" w:rsidSect="009806EB">
          <w:pgSz w:w="16840" w:h="11900" w:orient="landscape"/>
          <w:pgMar w:top="425" w:right="851" w:bottom="992" w:left="992" w:header="0" w:footer="489" w:gutter="0"/>
          <w:cols w:space="708"/>
          <w:docGrid w:linePitch="326"/>
        </w:sectPr>
      </w:pPr>
    </w:p>
    <w:p w14:paraId="5740B84C" w14:textId="18993E1C" w:rsidR="009D0BB8" w:rsidRDefault="00C33646" w:rsidP="003E0DB3">
      <w:pPr>
        <w:pStyle w:val="Heading2"/>
        <w:tabs>
          <w:tab w:val="left" w:pos="9498"/>
        </w:tabs>
        <w:rPr>
          <w:lang w:val="en-AU"/>
        </w:rPr>
      </w:pPr>
      <w:bookmarkStart w:id="30" w:name="_Toc1132986"/>
      <w:r>
        <w:rPr>
          <w:lang w:val="en-AU"/>
        </w:rPr>
        <w:lastRenderedPageBreak/>
        <w:t>Have your say</w:t>
      </w:r>
      <w:bookmarkEnd w:id="30"/>
    </w:p>
    <w:p w14:paraId="35719ADA" w14:textId="0E1A4DED" w:rsidR="00D93CBD" w:rsidRDefault="00D93CBD" w:rsidP="00D93CBD">
      <w:r>
        <w:t xml:space="preserve">The Department of Justice is seeking feedback on the proposed options and invites stakeholders to add any other relevant information. </w:t>
      </w:r>
    </w:p>
    <w:p w14:paraId="222C452E" w14:textId="3BCFB87A" w:rsidR="00D93CBD" w:rsidRDefault="00D93CBD" w:rsidP="00D93CBD">
      <w:r>
        <w:t>The following questions may be used to guide responses:</w:t>
      </w:r>
    </w:p>
    <w:p w14:paraId="77D17AB0" w14:textId="77777777" w:rsidR="00D93CBD" w:rsidRDefault="00D93CBD" w:rsidP="009D0BB8">
      <w:pPr>
        <w:rPr>
          <w:lang w:val="en-AU"/>
        </w:rPr>
      </w:pPr>
    </w:p>
    <w:p w14:paraId="09070588" w14:textId="4A27E6E3" w:rsidR="006C16AA" w:rsidRDefault="006C16AA" w:rsidP="009D0BB8">
      <w:pPr>
        <w:rPr>
          <w:lang w:val="en-AU"/>
        </w:rPr>
      </w:pPr>
      <w:r w:rsidRPr="00D93CBD">
        <w:rPr>
          <w:b/>
          <w:lang w:val="en-AU"/>
        </w:rPr>
        <w:t>Question 1</w:t>
      </w:r>
      <w:r>
        <w:rPr>
          <w:lang w:val="en-AU"/>
        </w:rPr>
        <w:t xml:space="preserve"> – How does the Disposal of Uncollected Goods Act impact you currently?</w:t>
      </w:r>
    </w:p>
    <w:p w14:paraId="7530E023" w14:textId="25BF3D6E" w:rsidR="006C16AA" w:rsidRDefault="006C16AA" w:rsidP="009D0BB8">
      <w:pPr>
        <w:rPr>
          <w:lang w:val="en-AU"/>
        </w:rPr>
      </w:pPr>
    </w:p>
    <w:p w14:paraId="35F59CA6" w14:textId="7149B0E0" w:rsidR="006C16AA" w:rsidRDefault="006C16AA" w:rsidP="009D0BB8">
      <w:pPr>
        <w:rPr>
          <w:lang w:val="en-AU"/>
        </w:rPr>
      </w:pPr>
      <w:r w:rsidRPr="00D93CBD">
        <w:rPr>
          <w:b/>
          <w:lang w:val="en-AU"/>
        </w:rPr>
        <w:t>Question 2</w:t>
      </w:r>
      <w:r>
        <w:rPr>
          <w:lang w:val="en-AU"/>
        </w:rPr>
        <w:t xml:space="preserve"> – Is there a need to change the current policy?</w:t>
      </w:r>
    </w:p>
    <w:p w14:paraId="0EA360A2" w14:textId="557110D0" w:rsidR="006C16AA" w:rsidRDefault="006C16AA" w:rsidP="009D0BB8">
      <w:pPr>
        <w:rPr>
          <w:lang w:val="en-AU"/>
        </w:rPr>
      </w:pPr>
    </w:p>
    <w:p w14:paraId="20BA057D" w14:textId="7A77E15C" w:rsidR="006C16AA" w:rsidRDefault="006C16AA" w:rsidP="009D0BB8">
      <w:pPr>
        <w:rPr>
          <w:lang w:val="en-AU"/>
        </w:rPr>
      </w:pPr>
      <w:r w:rsidRPr="00D93CBD">
        <w:rPr>
          <w:b/>
          <w:lang w:val="en-AU"/>
        </w:rPr>
        <w:t>Question 3</w:t>
      </w:r>
      <w:r>
        <w:rPr>
          <w:lang w:val="en-AU"/>
        </w:rPr>
        <w:t xml:space="preserve"> – If yes, which of the options for reform do you support, and why?</w:t>
      </w:r>
    </w:p>
    <w:p w14:paraId="5CC775CB" w14:textId="77777777" w:rsidR="00C56609" w:rsidRDefault="00C56609" w:rsidP="009D0BB8">
      <w:pPr>
        <w:rPr>
          <w:lang w:val="en-AU"/>
        </w:rPr>
      </w:pPr>
    </w:p>
    <w:p w14:paraId="30EC4B2F" w14:textId="60349866" w:rsidR="006C16AA" w:rsidRDefault="00C56609" w:rsidP="009D0BB8">
      <w:pPr>
        <w:rPr>
          <w:lang w:val="en-AU"/>
        </w:rPr>
      </w:pPr>
      <w:r w:rsidRPr="00D93CBD">
        <w:rPr>
          <w:b/>
          <w:lang w:val="en-AU"/>
        </w:rPr>
        <w:t>Q</w:t>
      </w:r>
      <w:r w:rsidR="006C16AA" w:rsidRPr="00D93CBD">
        <w:rPr>
          <w:b/>
          <w:lang w:val="en-AU"/>
        </w:rPr>
        <w:t>uestion 4</w:t>
      </w:r>
      <w:r w:rsidR="006C16AA">
        <w:rPr>
          <w:lang w:val="en-AU"/>
        </w:rPr>
        <w:t xml:space="preserve"> – If monetary thresholds are set for categories of goods, what do you think they should be, and why?</w:t>
      </w:r>
    </w:p>
    <w:p w14:paraId="678454DE" w14:textId="77777777" w:rsidR="00C56609" w:rsidRDefault="00C56609" w:rsidP="009D0BB8">
      <w:pPr>
        <w:rPr>
          <w:lang w:val="en-AU"/>
        </w:rPr>
      </w:pPr>
    </w:p>
    <w:p w14:paraId="7DF57652" w14:textId="1D231FB6" w:rsidR="006C16AA" w:rsidRDefault="006C16AA" w:rsidP="009D0BB8">
      <w:pPr>
        <w:rPr>
          <w:lang w:val="en-AU"/>
        </w:rPr>
      </w:pPr>
      <w:r w:rsidRPr="00D93CBD">
        <w:rPr>
          <w:b/>
          <w:lang w:val="en-AU"/>
        </w:rPr>
        <w:t>Question 5</w:t>
      </w:r>
      <w:r>
        <w:rPr>
          <w:lang w:val="en-AU"/>
        </w:rPr>
        <w:t xml:space="preserve"> – Do you support the proposed option (Option 4) to reform the Act, and if not, what other option would you support?</w:t>
      </w:r>
    </w:p>
    <w:p w14:paraId="67649B5D" w14:textId="1EE17F30" w:rsidR="006C16AA" w:rsidRDefault="006C16AA" w:rsidP="009D0BB8">
      <w:pPr>
        <w:rPr>
          <w:lang w:val="en-AU"/>
        </w:rPr>
      </w:pPr>
    </w:p>
    <w:p w14:paraId="289087C7" w14:textId="0F2CCE2F" w:rsidR="006C16AA" w:rsidRDefault="006C16AA" w:rsidP="009D0BB8">
      <w:pPr>
        <w:rPr>
          <w:lang w:val="en-AU"/>
        </w:rPr>
      </w:pPr>
      <w:r w:rsidRPr="00D93CBD">
        <w:rPr>
          <w:b/>
          <w:lang w:val="en-AU"/>
        </w:rPr>
        <w:t>Comments</w:t>
      </w:r>
      <w:r>
        <w:rPr>
          <w:lang w:val="en-AU"/>
        </w:rPr>
        <w:t xml:space="preserve"> – Please add any other comments or suggestions relating to the proposed reform of the Act.</w:t>
      </w:r>
    </w:p>
    <w:p w14:paraId="2FD06D17" w14:textId="77777777" w:rsidR="00DA5FFF" w:rsidRDefault="00DA5FFF" w:rsidP="00C56609"/>
    <w:p w14:paraId="7EEFEB70" w14:textId="7B543CC2" w:rsidR="00DA5FFF" w:rsidRDefault="00D93CBD" w:rsidP="00D93CBD">
      <w:pPr>
        <w:pStyle w:val="Heading2"/>
      </w:pPr>
      <w:bookmarkStart w:id="31" w:name="_Toc1132987"/>
      <w:r>
        <w:t>How to lodge submissions</w:t>
      </w:r>
      <w:bookmarkEnd w:id="31"/>
    </w:p>
    <w:p w14:paraId="3DE2D03E" w14:textId="6DFC306E" w:rsidR="009C7A3D" w:rsidRDefault="00C56609" w:rsidP="00C56609">
      <w:r>
        <w:t xml:space="preserve">The closing date for responses is </w:t>
      </w:r>
      <w:r w:rsidR="00022E5D">
        <w:t>Friday 15</w:t>
      </w:r>
      <w:r w:rsidR="009C7A3D" w:rsidRPr="009C7A3D">
        <w:t xml:space="preserve"> March 2019.</w:t>
      </w:r>
    </w:p>
    <w:p w14:paraId="52BCE069" w14:textId="20D59C88" w:rsidR="00C56609" w:rsidRDefault="00C56609" w:rsidP="00C56609">
      <w:r>
        <w:t>Responses should be made in writing and submitted by one of the following methods:</w:t>
      </w:r>
    </w:p>
    <w:p w14:paraId="32F9F263" w14:textId="77777777" w:rsidR="00C56609" w:rsidRDefault="00C56609" w:rsidP="00C56609">
      <w:r>
        <w:t>By email:</w:t>
      </w:r>
    </w:p>
    <w:p w14:paraId="39D49C6D" w14:textId="7CD0A67D" w:rsidR="00C56609" w:rsidRDefault="004549E2" w:rsidP="00C56609">
      <w:pPr>
        <w:ind w:left="720"/>
      </w:pPr>
      <w:hyperlink r:id="rId23" w:history="1">
        <w:r>
          <w:rPr>
            <w:rStyle w:val="Hyperlink"/>
          </w:rPr>
          <w:t>haveyoursay</w:t>
        </w:r>
        <w:r w:rsidRPr="00AF4351">
          <w:rPr>
            <w:rStyle w:val="Hyperlink"/>
          </w:rPr>
          <w:t>@justice.tas.gov.au</w:t>
        </w:r>
      </w:hyperlink>
      <w:r w:rsidR="00C56609">
        <w:br/>
        <w:t>Marked “Disposal of Uncollected Goods Act Review”</w:t>
      </w:r>
    </w:p>
    <w:p w14:paraId="2C81E0FC" w14:textId="77777777" w:rsidR="00C56609" w:rsidRDefault="00C56609" w:rsidP="00C56609">
      <w:r>
        <w:t>By post:</w:t>
      </w:r>
    </w:p>
    <w:p w14:paraId="0DA0DFCB" w14:textId="77777777" w:rsidR="00C56609" w:rsidRDefault="00C56609" w:rsidP="00C56609">
      <w:pPr>
        <w:ind w:left="720"/>
      </w:pPr>
      <w:r>
        <w:t>ATTN: Assistant Director Policy and Projects</w:t>
      </w:r>
      <w:r>
        <w:br/>
        <w:t>PO Box 56</w:t>
      </w:r>
      <w:r>
        <w:br/>
      </w:r>
      <w:proofErr w:type="spellStart"/>
      <w:proofErr w:type="gramStart"/>
      <w:r>
        <w:t>Rosny</w:t>
      </w:r>
      <w:proofErr w:type="spellEnd"/>
      <w:r>
        <w:t xml:space="preserve">  TAS</w:t>
      </w:r>
      <w:proofErr w:type="gramEnd"/>
      <w:r>
        <w:t xml:space="preserve">  7018</w:t>
      </w:r>
    </w:p>
    <w:p w14:paraId="232073B3" w14:textId="77777777" w:rsidR="004549E2" w:rsidRDefault="004549E2" w:rsidP="00C56609">
      <w:bookmarkStart w:id="32" w:name="_GoBack"/>
      <w:bookmarkEnd w:id="32"/>
    </w:p>
    <w:p w14:paraId="518E38B3" w14:textId="4BEBE93A" w:rsidR="009D0BB8" w:rsidRDefault="00C56609" w:rsidP="00DA5FFF">
      <w:pPr>
        <w:rPr>
          <w:lang w:val="en-AU"/>
        </w:rPr>
      </w:pPr>
      <w:r>
        <w:t xml:space="preserve">Further information is available by contact Consumer, Building and Occupational Services (CBOS) on </w:t>
      </w:r>
      <w:r w:rsidR="00C96584">
        <w:br/>
      </w:r>
      <w:r>
        <w:t>1300 65 44 99 or by email at cbos.info@justice.tas.gov.au.</w:t>
      </w:r>
      <w:r w:rsidR="00872142">
        <w:rPr>
          <w:lang w:val="en-AU"/>
        </w:rPr>
        <w:tab/>
      </w:r>
    </w:p>
    <w:p w14:paraId="352C360B" w14:textId="77777777" w:rsidR="004549E2" w:rsidRPr="00DA5FFF" w:rsidRDefault="004549E2" w:rsidP="00DA5FFF">
      <w:pPr>
        <w:sectPr w:rsidR="004549E2" w:rsidRPr="00DA5FFF" w:rsidSect="00AA465B">
          <w:footerReference w:type="default" r:id="rId24"/>
          <w:pgSz w:w="11900" w:h="16840"/>
          <w:pgMar w:top="851" w:right="851" w:bottom="992" w:left="851" w:header="0" w:footer="636" w:gutter="0"/>
          <w:cols w:space="708"/>
          <w:docGrid w:linePitch="326"/>
        </w:sectPr>
      </w:pPr>
    </w:p>
    <w:p w14:paraId="1649EB63" w14:textId="77777777" w:rsidR="00FE51F9" w:rsidRPr="000C5EA6" w:rsidRDefault="00FE51F9" w:rsidP="00273FBA">
      <w:pPr>
        <w:rPr>
          <w:lang w:val="en-AU"/>
        </w:rPr>
      </w:pPr>
    </w:p>
    <w:p w14:paraId="1694203B" w14:textId="77777777" w:rsidR="00B53313" w:rsidRPr="00A800CD" w:rsidRDefault="00322F44" w:rsidP="00B53313">
      <w:pPr>
        <w:spacing w:before="60"/>
        <w:rPr>
          <w:color w:val="FFFFFF" w:themeColor="background1"/>
          <w:lang w:val="en-AU"/>
        </w:rPr>
      </w:pPr>
      <w:r w:rsidRPr="000D630E">
        <w:rPr>
          <w:noProof/>
          <w:lang w:val="en-AU" w:eastAsia="en-AU"/>
        </w:rPr>
        <w:drawing>
          <wp:anchor distT="0" distB="0" distL="114300" distR="114300" simplePos="0" relativeHeight="251656192" behindDoc="0" locked="1" layoutInCell="1" allowOverlap="1" wp14:anchorId="74C70FB7" wp14:editId="13B2CBE8">
            <wp:simplePos x="0" y="0"/>
            <wp:positionH relativeFrom="column">
              <wp:posOffset>0</wp:posOffset>
            </wp:positionH>
            <wp:positionV relativeFrom="page">
              <wp:posOffset>2801620</wp:posOffset>
            </wp:positionV>
            <wp:extent cx="946785" cy="876935"/>
            <wp:effectExtent l="0" t="0" r="0" b="1206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 Gov_no tag_CMYK_vert.png"/>
                    <pic:cNvPicPr/>
                  </pic:nvPicPr>
                  <pic:blipFill>
                    <a:blip r:embed="rId25">
                      <a:extLst>
                        <a:ext uri="{28A0092B-C50C-407E-A947-70E740481C1C}">
                          <a14:useLocalDpi xmlns:a14="http://schemas.microsoft.com/office/drawing/2010/main" val="0"/>
                        </a:ext>
                      </a:extLst>
                    </a:blip>
                    <a:stretch>
                      <a:fillRect/>
                    </a:stretch>
                  </pic:blipFill>
                  <pic:spPr>
                    <a:xfrm>
                      <a:off x="0" y="0"/>
                      <a:ext cx="946785" cy="8769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10617" w:rsidRPr="00A800CD">
        <w:rPr>
          <w:color w:val="FFFFFF" w:themeColor="background1"/>
          <w:lang w:val="en-AU"/>
        </w:rPr>
        <w:t>Consumer, Building and Occupational Services</w:t>
      </w:r>
    </w:p>
    <w:p w14:paraId="4BA533D3" w14:textId="77777777" w:rsidR="00900AB7" w:rsidRPr="00A800CD" w:rsidRDefault="00010617" w:rsidP="00900AB7">
      <w:pPr>
        <w:pStyle w:val="ContactDetails"/>
        <w:rPr>
          <w:rFonts w:ascii="Times New Roman" w:hAnsi="Times New Roman" w:cs="Times New Roman"/>
          <w:lang w:val="en-AU"/>
        </w:rPr>
      </w:pPr>
      <w:r w:rsidRPr="00A800CD">
        <w:rPr>
          <w:lang w:val="en-AU"/>
        </w:rPr>
        <w:t>30 Gordons Hill Road</w:t>
      </w:r>
      <w:r w:rsidR="00900AB7" w:rsidRPr="00A800CD">
        <w:rPr>
          <w:rFonts w:ascii="Times New Roman" w:hAnsi="Times New Roman" w:cs="Times New Roman"/>
          <w:lang w:val="en-AU"/>
        </w:rPr>
        <w:br/>
      </w:r>
      <w:r w:rsidRPr="00A800CD">
        <w:rPr>
          <w:lang w:val="en-AU"/>
        </w:rPr>
        <w:t>Rosny</w:t>
      </w:r>
      <w:proofErr w:type="gramStart"/>
      <w:r w:rsidR="00900AB7" w:rsidRPr="00A800CD">
        <w:rPr>
          <w:lang w:val="en-AU"/>
        </w:rPr>
        <w:t>  TAS</w:t>
      </w:r>
      <w:proofErr w:type="gramEnd"/>
      <w:r w:rsidR="00900AB7" w:rsidRPr="00A800CD">
        <w:rPr>
          <w:lang w:val="en-AU"/>
        </w:rPr>
        <w:t xml:space="preserve">  </w:t>
      </w:r>
      <w:r w:rsidRPr="00A800CD">
        <w:rPr>
          <w:lang w:val="en-AU"/>
        </w:rPr>
        <w:t>7018</w:t>
      </w:r>
    </w:p>
    <w:p w14:paraId="1BC20EEE" w14:textId="205CA814" w:rsidR="00AB487F" w:rsidRPr="00A800CD" w:rsidRDefault="00900AB7" w:rsidP="00900AB7">
      <w:pPr>
        <w:pStyle w:val="ContactDetails"/>
        <w:rPr>
          <w:rFonts w:ascii="Times New Roman" w:hAnsi="Times New Roman" w:cs="Times New Roman"/>
          <w:lang w:val="en-AU"/>
        </w:rPr>
      </w:pPr>
      <w:r w:rsidRPr="00A800CD">
        <w:rPr>
          <w:lang w:val="en-AU"/>
        </w:rPr>
        <w:t xml:space="preserve">Phone: </w:t>
      </w:r>
      <w:r w:rsidRPr="00A800CD">
        <w:rPr>
          <w:lang w:val="en-AU"/>
        </w:rPr>
        <w:tab/>
      </w:r>
      <w:r w:rsidR="00010617" w:rsidRPr="00A800CD">
        <w:rPr>
          <w:lang w:val="en-AU"/>
        </w:rPr>
        <w:t>1300 65 44 99</w:t>
      </w:r>
      <w:r w:rsidRPr="00A800CD">
        <w:rPr>
          <w:rFonts w:ascii="Times New Roman" w:hAnsi="Times New Roman" w:cs="Times New Roman"/>
          <w:lang w:val="en-AU"/>
        </w:rPr>
        <w:br/>
      </w:r>
      <w:r w:rsidRPr="00A800CD">
        <w:rPr>
          <w:lang w:val="en-AU"/>
        </w:rPr>
        <w:t>Email:</w:t>
      </w:r>
      <w:r w:rsidRPr="00A800CD">
        <w:rPr>
          <w:lang w:val="en-AU"/>
        </w:rPr>
        <w:tab/>
      </w:r>
      <w:r w:rsidR="00010617" w:rsidRPr="00A800CD">
        <w:rPr>
          <w:lang w:val="en-AU"/>
        </w:rPr>
        <w:t>cbos</w:t>
      </w:r>
      <w:r w:rsidR="00AE2D36">
        <w:rPr>
          <w:lang w:val="en-AU"/>
        </w:rPr>
        <w:t>.</w:t>
      </w:r>
      <w:r w:rsidR="00010617" w:rsidRPr="00A800CD">
        <w:rPr>
          <w:lang w:val="en-AU"/>
        </w:rPr>
        <w:t>info</w:t>
      </w:r>
      <w:r w:rsidRPr="00A800CD">
        <w:rPr>
          <w:lang w:val="en-AU"/>
        </w:rPr>
        <w:t>@</w:t>
      </w:r>
      <w:r w:rsidR="00010617" w:rsidRPr="00A800CD">
        <w:rPr>
          <w:lang w:val="en-AU"/>
        </w:rPr>
        <w:t>justice</w:t>
      </w:r>
      <w:r w:rsidRPr="00A800CD">
        <w:rPr>
          <w:lang w:val="en-AU"/>
        </w:rPr>
        <w:t>.tas.gov.au</w:t>
      </w:r>
      <w:r w:rsidRPr="00A800CD">
        <w:rPr>
          <w:rFonts w:ascii="Times New Roman" w:hAnsi="Times New Roman" w:cs="Times New Roman"/>
          <w:lang w:val="en-AU"/>
        </w:rPr>
        <w:br/>
      </w:r>
      <w:r w:rsidRPr="00A800CD">
        <w:rPr>
          <w:lang w:val="en-AU"/>
        </w:rPr>
        <w:t>Visit:</w:t>
      </w:r>
      <w:r w:rsidRPr="00A800CD">
        <w:rPr>
          <w:lang w:val="en-AU"/>
        </w:rPr>
        <w:tab/>
        <w:t>www.</w:t>
      </w:r>
      <w:r w:rsidR="00AE2D36">
        <w:rPr>
          <w:lang w:val="en-AU"/>
        </w:rPr>
        <w:t>cbos.tas</w:t>
      </w:r>
      <w:r w:rsidRPr="00A800CD">
        <w:rPr>
          <w:lang w:val="en-AU"/>
        </w:rPr>
        <w:t>.gov.au</w:t>
      </w:r>
    </w:p>
    <w:sectPr w:rsidR="00AB487F" w:rsidRPr="00A800CD" w:rsidSect="00F81CAF">
      <w:headerReference w:type="even" r:id="rId26"/>
      <w:headerReference w:type="first" r:id="rId27"/>
      <w:pgSz w:w="11900" w:h="16840"/>
      <w:pgMar w:top="6521" w:right="851" w:bottom="992" w:left="516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8DCC" w14:textId="77777777" w:rsidR="00BE5C74" w:rsidRDefault="00BE5C74" w:rsidP="00561CB1">
      <w:r>
        <w:separator/>
      </w:r>
    </w:p>
  </w:endnote>
  <w:endnote w:type="continuationSeparator" w:id="0">
    <w:p w14:paraId="73902830" w14:textId="77777777" w:rsidR="00BE5C74" w:rsidRDefault="00BE5C74" w:rsidP="0056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Segoe UI Semilight"/>
    <w:panose1 w:val="020B0402020204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illSans">
    <w:panose1 w:val="020B0602020204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9481" w14:textId="77777777" w:rsidR="00681600" w:rsidRDefault="00681600">
    <w:pPr>
      <w:pStyle w:val="Footer"/>
    </w:pPr>
    <w:r>
      <w:rPr>
        <w:noProof/>
        <w:lang w:val="en-AU" w:eastAsia="en-AU"/>
      </w:rPr>
      <w:drawing>
        <wp:anchor distT="0" distB="0" distL="114300" distR="114300" simplePos="0" relativeHeight="251659264" behindDoc="1" locked="0" layoutInCell="1" allowOverlap="1" wp14:anchorId="29D4AD7A" wp14:editId="05A6624C">
          <wp:simplePos x="0" y="0"/>
          <wp:positionH relativeFrom="page">
            <wp:align>left</wp:align>
          </wp:positionH>
          <wp:positionV relativeFrom="page">
            <wp:align>bottom</wp:align>
          </wp:positionV>
          <wp:extent cx="3061214" cy="28784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49 DPAC Template Design_Blue2.jpg"/>
                  <pic:cNvPicPr/>
                </pic:nvPicPr>
                <pic:blipFill>
                  <a:blip r:embed="rId1">
                    <a:extLst>
                      <a:ext uri="{28A0092B-C50C-407E-A947-70E740481C1C}">
                        <a14:useLocalDpi xmlns:a14="http://schemas.microsoft.com/office/drawing/2010/main" val="0"/>
                      </a:ext>
                    </a:extLst>
                  </a:blip>
                  <a:stretch>
                    <a:fillRect/>
                  </a:stretch>
                </pic:blipFill>
                <pic:spPr>
                  <a:xfrm>
                    <a:off x="0" y="0"/>
                    <a:ext cx="3061214" cy="287845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16FA1" w14:textId="77777777" w:rsidR="00681600" w:rsidRDefault="00681600">
    <w:pPr>
      <w:pStyle w:val="Footer"/>
    </w:pPr>
    <w:r>
      <w:rPr>
        <w:noProof/>
        <w:lang w:val="en-AU" w:eastAsia="en-AU"/>
      </w:rPr>
      <w:drawing>
        <wp:anchor distT="0" distB="0" distL="114300" distR="114300" simplePos="0" relativeHeight="251654144" behindDoc="1" locked="0" layoutInCell="1" allowOverlap="1" wp14:anchorId="6EAA39F6" wp14:editId="6837C1AF">
          <wp:simplePos x="0" y="0"/>
          <wp:positionH relativeFrom="page">
            <wp:align>left</wp:align>
          </wp:positionH>
          <wp:positionV relativeFrom="page">
            <wp:align>bottom</wp:align>
          </wp:positionV>
          <wp:extent cx="3061411" cy="2878531"/>
          <wp:effectExtent l="0" t="0" r="1206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49 DPAC Template Design_Blue2.jpg"/>
                  <pic:cNvPicPr/>
                </pic:nvPicPr>
                <pic:blipFill>
                  <a:blip r:embed="rId1">
                    <a:extLst>
                      <a:ext uri="{28A0092B-C50C-407E-A947-70E740481C1C}">
                        <a14:useLocalDpi xmlns:a14="http://schemas.microsoft.com/office/drawing/2010/main" val="0"/>
                      </a:ext>
                    </a:extLst>
                  </a:blip>
                  <a:stretch>
                    <a:fillRect/>
                  </a:stretch>
                </pic:blipFill>
                <pic:spPr>
                  <a:xfrm>
                    <a:off x="0" y="0"/>
                    <a:ext cx="3061411" cy="287853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515D" w14:textId="0FA176D8" w:rsidR="00681600" w:rsidRPr="00900AB7" w:rsidRDefault="00681600" w:rsidP="00B53313">
    <w:pPr>
      <w:pStyle w:val="Footer"/>
      <w:framePr w:wrap="around" w:vAnchor="page" w:hAnchor="page" w:x="568" w:y="15877"/>
      <w:jc w:val="right"/>
      <w:rPr>
        <w:rStyle w:val="PageNumber"/>
        <w:szCs w:val="32"/>
      </w:rPr>
    </w:pPr>
    <w:r w:rsidRPr="00900AB7">
      <w:rPr>
        <w:rStyle w:val="PageNumber"/>
        <w:szCs w:val="32"/>
      </w:rPr>
      <w:fldChar w:fldCharType="begin"/>
    </w:r>
    <w:r w:rsidRPr="00900AB7">
      <w:rPr>
        <w:rStyle w:val="PageNumber"/>
        <w:szCs w:val="32"/>
      </w:rPr>
      <w:instrText xml:space="preserve">PAGE  </w:instrText>
    </w:r>
    <w:r w:rsidRPr="00900AB7">
      <w:rPr>
        <w:rStyle w:val="PageNumber"/>
        <w:szCs w:val="32"/>
      </w:rPr>
      <w:fldChar w:fldCharType="separate"/>
    </w:r>
    <w:r>
      <w:rPr>
        <w:rStyle w:val="PageNumber"/>
        <w:noProof/>
        <w:szCs w:val="32"/>
      </w:rPr>
      <w:t>6</w:t>
    </w:r>
    <w:r w:rsidRPr="00900AB7">
      <w:rPr>
        <w:rStyle w:val="PageNumber"/>
        <w:szCs w:val="32"/>
      </w:rPr>
      <w:fldChar w:fldCharType="end"/>
    </w:r>
  </w:p>
  <w:p w14:paraId="75457786" w14:textId="5778F245" w:rsidR="00681600" w:rsidRDefault="00681600" w:rsidP="0078010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A740" w14:textId="7ED55C1F" w:rsidR="00681600" w:rsidRPr="00900AB7" w:rsidRDefault="00681600" w:rsidP="00DA5821">
    <w:pPr>
      <w:pStyle w:val="Footer"/>
      <w:framePr w:wrap="around" w:vAnchor="page" w:hAnchor="page" w:x="11058" w:y="15877"/>
      <w:rPr>
        <w:rStyle w:val="PageNumber"/>
        <w:szCs w:val="32"/>
      </w:rPr>
    </w:pPr>
    <w:r w:rsidRPr="00900AB7">
      <w:rPr>
        <w:rStyle w:val="PageNumber"/>
        <w:szCs w:val="32"/>
      </w:rPr>
      <w:fldChar w:fldCharType="begin"/>
    </w:r>
    <w:r w:rsidRPr="00900AB7">
      <w:rPr>
        <w:rStyle w:val="PageNumber"/>
        <w:szCs w:val="32"/>
      </w:rPr>
      <w:instrText xml:space="preserve">PAGE  </w:instrText>
    </w:r>
    <w:r w:rsidRPr="00900AB7">
      <w:rPr>
        <w:rStyle w:val="PageNumber"/>
        <w:szCs w:val="32"/>
      </w:rPr>
      <w:fldChar w:fldCharType="separate"/>
    </w:r>
    <w:r w:rsidR="00C96584">
      <w:rPr>
        <w:rStyle w:val="PageNumber"/>
        <w:noProof/>
        <w:szCs w:val="32"/>
      </w:rPr>
      <w:t>3</w:t>
    </w:r>
    <w:r w:rsidRPr="00900AB7">
      <w:rPr>
        <w:rStyle w:val="PageNumber"/>
        <w:szCs w:val="32"/>
      </w:rPr>
      <w:fldChar w:fldCharType="end"/>
    </w:r>
  </w:p>
  <w:p w14:paraId="2B3321A9" w14:textId="057EE982" w:rsidR="00681600" w:rsidRPr="00DB722A" w:rsidRDefault="00681600" w:rsidP="0078010C">
    <w:pPr>
      <w:pStyle w:val="Footer"/>
      <w:rPr>
        <w:b/>
        <w:bC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A2BAA" w14:textId="77777777" w:rsidR="00681600" w:rsidRDefault="006816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F346" w14:textId="5605A719" w:rsidR="00681600" w:rsidRPr="00900AB7" w:rsidRDefault="00681600" w:rsidP="00DA5821">
    <w:pPr>
      <w:pStyle w:val="Footer"/>
      <w:framePr w:wrap="around" w:vAnchor="page" w:hAnchor="page" w:x="11058" w:y="15877"/>
      <w:rPr>
        <w:rStyle w:val="PageNumber"/>
        <w:szCs w:val="32"/>
      </w:rPr>
    </w:pPr>
    <w:r w:rsidRPr="00900AB7">
      <w:rPr>
        <w:rStyle w:val="PageNumber"/>
        <w:szCs w:val="32"/>
      </w:rPr>
      <w:fldChar w:fldCharType="begin"/>
    </w:r>
    <w:r w:rsidRPr="00900AB7">
      <w:rPr>
        <w:rStyle w:val="PageNumber"/>
        <w:szCs w:val="32"/>
      </w:rPr>
      <w:instrText xml:space="preserve">PAGE  </w:instrText>
    </w:r>
    <w:r w:rsidRPr="00900AB7">
      <w:rPr>
        <w:rStyle w:val="PageNumber"/>
        <w:szCs w:val="32"/>
      </w:rPr>
      <w:fldChar w:fldCharType="separate"/>
    </w:r>
    <w:r w:rsidR="00C96584">
      <w:rPr>
        <w:rStyle w:val="PageNumber"/>
        <w:noProof/>
        <w:szCs w:val="32"/>
      </w:rPr>
      <w:t>6</w:t>
    </w:r>
    <w:r w:rsidRPr="00900AB7">
      <w:rPr>
        <w:rStyle w:val="PageNumber"/>
        <w:szCs w:val="32"/>
      </w:rPr>
      <w:fldChar w:fldCharType="end"/>
    </w:r>
  </w:p>
  <w:p w14:paraId="6664421C" w14:textId="77777777" w:rsidR="00681600" w:rsidRDefault="00681600" w:rsidP="002C24B9">
    <w:pPr>
      <w:pStyle w:val="Footer"/>
      <w:rPr>
        <w:rStyle w:val="Strong"/>
      </w:rPr>
    </w:pPr>
  </w:p>
  <w:p w14:paraId="2F490E41" w14:textId="77777777" w:rsidR="00681600" w:rsidRDefault="00681600" w:rsidP="002C24B9">
    <w:pPr>
      <w:pStyle w:val="Footer"/>
      <w:rPr>
        <w:rStyle w:val="Strong"/>
      </w:rPr>
    </w:pPr>
  </w:p>
  <w:p w14:paraId="18BD907C" w14:textId="502F2C2A" w:rsidR="00681600" w:rsidRPr="00DB722A" w:rsidRDefault="00681600" w:rsidP="0078010C">
    <w:pPr>
      <w:pStyle w:val="Footer"/>
      <w:rPr>
        <w:b/>
        <w:bCs/>
      </w:rPr>
    </w:pPr>
    <w:r>
      <w:rPr>
        <w:noProof/>
        <w:lang w:val="en-AU" w:eastAsia="en-AU"/>
      </w:rPr>
      <w:drawing>
        <wp:anchor distT="0" distB="0" distL="114300" distR="114300" simplePos="0" relativeHeight="251660288" behindDoc="1" locked="1" layoutInCell="1" allowOverlap="1" wp14:anchorId="529027F6" wp14:editId="3E0E349C">
          <wp:simplePos x="0" y="0"/>
          <wp:positionH relativeFrom="page">
            <wp:align>right</wp:align>
          </wp:positionH>
          <wp:positionV relativeFrom="page">
            <wp:align>bottom</wp:align>
          </wp:positionV>
          <wp:extent cx="7563485" cy="1440815"/>
          <wp:effectExtent l="0" t="0" r="5715"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49 DPAC Template Design_Blue5.jpg"/>
                  <pic:cNvPicPr/>
                </pic:nvPicPr>
                <pic:blipFill>
                  <a:blip r:embed="rId1">
                    <a:extLst>
                      <a:ext uri="{28A0092B-C50C-407E-A947-70E740481C1C}">
                        <a14:useLocalDpi xmlns:a14="http://schemas.microsoft.com/office/drawing/2010/main" val="0"/>
                      </a:ext>
                    </a:extLst>
                  </a:blip>
                  <a:stretch>
                    <a:fillRect/>
                  </a:stretch>
                </pic:blipFill>
                <pic:spPr>
                  <a:xfrm>
                    <a:off x="0" y="0"/>
                    <a:ext cx="7563485" cy="14408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00AB7">
      <w:rPr>
        <w:rStyle w:val="Strong"/>
      </w:rPr>
      <w:t>D</w:t>
    </w:r>
    <w:r>
      <w:rPr>
        <w:rStyle w:val="Strong"/>
      </w:rPr>
      <w:t>isposal of Uncollected Goods</w:t>
    </w:r>
    <w:r>
      <w:rPr>
        <w:rStyle w:val="Strong"/>
      </w:rPr>
      <w:br/>
    </w:r>
    <w:r>
      <w:rPr>
        <w:b/>
        <w:bCs/>
        <w:color w:val="808080" w:themeColor="background1" w:themeShade="80"/>
      </w:rPr>
      <w:t>Consumer, Building and Occupational Services</w:t>
    </w:r>
    <w:r w:rsidRPr="00762BD5">
      <w:rPr>
        <w:b/>
        <w:bCs/>
        <w:color w:val="808080" w:themeColor="background1" w:themeShade="80"/>
      </w:rPr>
      <w:t xml:space="preserve"> | Department</w:t>
    </w:r>
    <w:r>
      <w:rPr>
        <w:b/>
        <w:bCs/>
        <w:color w:val="808080" w:themeColor="background1" w:themeShade="80"/>
      </w:rPr>
      <w:t xml:space="preserve"> of Justice</w:t>
    </w:r>
    <w:r>
      <w:rPr>
        <w:noProof/>
        <w:lang w:val="en-AU" w:eastAsia="en-AU"/>
      </w:rPr>
      <w:drawing>
        <wp:anchor distT="0" distB="0" distL="114300" distR="114300" simplePos="0" relativeHeight="251656192" behindDoc="1" locked="1" layoutInCell="1" allowOverlap="1" wp14:anchorId="03A465FA" wp14:editId="42051CF0">
          <wp:simplePos x="0" y="0"/>
          <wp:positionH relativeFrom="page">
            <wp:posOffset>6985</wp:posOffset>
          </wp:positionH>
          <wp:positionV relativeFrom="page">
            <wp:posOffset>9235440</wp:posOffset>
          </wp:positionV>
          <wp:extent cx="7563485" cy="1440815"/>
          <wp:effectExtent l="0" t="0" r="5715"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49 DPAC Template Design_Blue5.jpg"/>
                  <pic:cNvPicPr/>
                </pic:nvPicPr>
                <pic:blipFill>
                  <a:blip r:embed="rId1">
                    <a:extLst>
                      <a:ext uri="{28A0092B-C50C-407E-A947-70E740481C1C}">
                        <a14:useLocalDpi xmlns:a14="http://schemas.microsoft.com/office/drawing/2010/main" val="0"/>
                      </a:ext>
                    </a:extLst>
                  </a:blip>
                  <a:stretch>
                    <a:fillRect/>
                  </a:stretch>
                </pic:blipFill>
                <pic:spPr>
                  <a:xfrm>
                    <a:off x="0" y="0"/>
                    <a:ext cx="7563485" cy="14408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EAC2" w14:textId="3299DEEA" w:rsidR="00681600" w:rsidRPr="00900AB7" w:rsidRDefault="00681600" w:rsidP="00DA5821">
    <w:pPr>
      <w:pStyle w:val="Footer"/>
      <w:framePr w:wrap="around" w:vAnchor="page" w:hAnchor="page" w:x="11058" w:y="15877"/>
      <w:rPr>
        <w:rStyle w:val="PageNumber"/>
        <w:szCs w:val="32"/>
      </w:rPr>
    </w:pPr>
    <w:r w:rsidRPr="00900AB7">
      <w:rPr>
        <w:rStyle w:val="PageNumber"/>
        <w:szCs w:val="32"/>
      </w:rPr>
      <w:fldChar w:fldCharType="begin"/>
    </w:r>
    <w:r w:rsidRPr="00900AB7">
      <w:rPr>
        <w:rStyle w:val="PageNumber"/>
        <w:szCs w:val="32"/>
      </w:rPr>
      <w:instrText xml:space="preserve">PAGE  </w:instrText>
    </w:r>
    <w:r w:rsidRPr="00900AB7">
      <w:rPr>
        <w:rStyle w:val="PageNumber"/>
        <w:szCs w:val="32"/>
      </w:rPr>
      <w:fldChar w:fldCharType="separate"/>
    </w:r>
    <w:r w:rsidR="00C96584">
      <w:rPr>
        <w:rStyle w:val="PageNumber"/>
        <w:noProof/>
        <w:szCs w:val="32"/>
      </w:rPr>
      <w:t>26</w:t>
    </w:r>
    <w:r w:rsidRPr="00900AB7">
      <w:rPr>
        <w:rStyle w:val="PageNumber"/>
        <w:szCs w:val="32"/>
      </w:rPr>
      <w:fldChar w:fldCharType="end"/>
    </w:r>
  </w:p>
  <w:p w14:paraId="5C7C88D1" w14:textId="77777777" w:rsidR="00681600" w:rsidRDefault="00681600" w:rsidP="002C24B9">
    <w:pPr>
      <w:pStyle w:val="Footer"/>
      <w:rPr>
        <w:rStyle w:val="Strong"/>
      </w:rPr>
    </w:pPr>
  </w:p>
  <w:p w14:paraId="3099956A" w14:textId="77777777" w:rsidR="00681600" w:rsidRDefault="00681600" w:rsidP="002C24B9">
    <w:pPr>
      <w:pStyle w:val="Footer"/>
      <w:rPr>
        <w:rStyle w:val="Strong"/>
      </w:rPr>
    </w:pPr>
  </w:p>
  <w:p w14:paraId="0F05D508" w14:textId="77777777" w:rsidR="00681600" w:rsidRPr="00900AB7" w:rsidRDefault="00681600" w:rsidP="002C24B9">
    <w:pPr>
      <w:pStyle w:val="Footer"/>
      <w:rPr>
        <w:rStyle w:val="Strong"/>
      </w:rPr>
    </w:pPr>
    <w:r>
      <w:rPr>
        <w:noProof/>
        <w:lang w:val="en-AU" w:eastAsia="en-AU"/>
      </w:rPr>
      <w:drawing>
        <wp:anchor distT="0" distB="0" distL="114300" distR="114300" simplePos="0" relativeHeight="251658240" behindDoc="1" locked="1" layoutInCell="1" allowOverlap="1" wp14:anchorId="07B922E5" wp14:editId="575A3EDC">
          <wp:simplePos x="0" y="0"/>
          <wp:positionH relativeFrom="page">
            <wp:align>right</wp:align>
          </wp:positionH>
          <wp:positionV relativeFrom="page">
            <wp:align>bottom</wp:align>
          </wp:positionV>
          <wp:extent cx="7563485" cy="1440815"/>
          <wp:effectExtent l="0" t="0" r="5715"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49 DPAC Template Design_Blue5.jpg"/>
                  <pic:cNvPicPr/>
                </pic:nvPicPr>
                <pic:blipFill>
                  <a:blip r:embed="rId1">
                    <a:extLst>
                      <a:ext uri="{28A0092B-C50C-407E-A947-70E740481C1C}">
                        <a14:useLocalDpi xmlns:a14="http://schemas.microsoft.com/office/drawing/2010/main" val="0"/>
                      </a:ext>
                    </a:extLst>
                  </a:blip>
                  <a:stretch>
                    <a:fillRect/>
                  </a:stretch>
                </pic:blipFill>
                <pic:spPr>
                  <a:xfrm>
                    <a:off x="0" y="0"/>
                    <a:ext cx="7563484" cy="144044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DCA5F5B" w14:textId="77777777" w:rsidR="00681600" w:rsidRPr="00DB722A" w:rsidRDefault="00681600" w:rsidP="0078010C">
    <w:pPr>
      <w:pStyle w:val="Footer"/>
      <w:rPr>
        <w:b/>
        <w:bCs/>
      </w:rPr>
    </w:pPr>
    <w:r w:rsidRPr="00900AB7">
      <w:rPr>
        <w:rStyle w:val="Strong"/>
      </w:rPr>
      <w:t>D</w:t>
    </w:r>
    <w:r>
      <w:rPr>
        <w:rStyle w:val="Strong"/>
      </w:rPr>
      <w:t>isposal of Uncollected Goods</w:t>
    </w:r>
    <w:r>
      <w:rPr>
        <w:rStyle w:val="Strong"/>
      </w:rPr>
      <w:br/>
    </w:r>
    <w:r>
      <w:rPr>
        <w:b/>
        <w:bCs/>
        <w:color w:val="808080" w:themeColor="background1" w:themeShade="80"/>
      </w:rPr>
      <w:t>Consumer, Building and Occupational Services</w:t>
    </w:r>
    <w:r w:rsidRPr="00762BD5">
      <w:rPr>
        <w:b/>
        <w:bCs/>
        <w:color w:val="808080" w:themeColor="background1" w:themeShade="80"/>
      </w:rPr>
      <w:t xml:space="preserve"> | Department</w:t>
    </w:r>
    <w:r>
      <w:rPr>
        <w:b/>
        <w:bCs/>
        <w:color w:val="808080" w:themeColor="background1" w:themeShade="80"/>
      </w:rPr>
      <w:t xml:space="preserve"> of Justice</w:t>
    </w:r>
    <w:r>
      <w:rPr>
        <w:noProof/>
        <w:lang w:val="en-AU" w:eastAsia="en-AU"/>
      </w:rPr>
      <w:drawing>
        <wp:anchor distT="0" distB="0" distL="114300" distR="114300" simplePos="0" relativeHeight="251657216" behindDoc="1" locked="1" layoutInCell="1" allowOverlap="1" wp14:anchorId="10153125" wp14:editId="3C2A5870">
          <wp:simplePos x="0" y="0"/>
          <wp:positionH relativeFrom="page">
            <wp:posOffset>6985</wp:posOffset>
          </wp:positionH>
          <wp:positionV relativeFrom="page">
            <wp:posOffset>9235440</wp:posOffset>
          </wp:positionV>
          <wp:extent cx="7563485" cy="1440815"/>
          <wp:effectExtent l="0" t="0" r="5715"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49 DPAC Template Design_Blue5.jpg"/>
                  <pic:cNvPicPr/>
                </pic:nvPicPr>
                <pic:blipFill>
                  <a:blip r:embed="rId1">
                    <a:extLst>
                      <a:ext uri="{28A0092B-C50C-407E-A947-70E740481C1C}">
                        <a14:useLocalDpi xmlns:a14="http://schemas.microsoft.com/office/drawing/2010/main" val="0"/>
                      </a:ext>
                    </a:extLst>
                  </a:blip>
                  <a:stretch>
                    <a:fillRect/>
                  </a:stretch>
                </pic:blipFill>
                <pic:spPr>
                  <a:xfrm>
                    <a:off x="0" y="0"/>
                    <a:ext cx="7563485" cy="14408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DAE77" w14:textId="77777777" w:rsidR="00BE5C74" w:rsidRDefault="00BE5C74" w:rsidP="00561CB1">
      <w:r>
        <w:separator/>
      </w:r>
    </w:p>
  </w:footnote>
  <w:footnote w:type="continuationSeparator" w:id="0">
    <w:p w14:paraId="0D44D864" w14:textId="77777777" w:rsidR="00BE5C74" w:rsidRDefault="00BE5C74" w:rsidP="00561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51F53" w14:textId="77777777" w:rsidR="00681600" w:rsidRDefault="00681600">
    <w:pPr>
      <w:pStyle w:val="Header"/>
    </w:pPr>
    <w:r>
      <w:rPr>
        <w:noProof/>
        <w:lang w:val="en-AU" w:eastAsia="en-AU"/>
      </w:rPr>
      <w:drawing>
        <wp:anchor distT="0" distB="0" distL="114300" distR="114300" simplePos="0" relativeHeight="251655168" behindDoc="1" locked="0" layoutInCell="1" allowOverlap="1" wp14:anchorId="4FB3E3B5" wp14:editId="1F61CA9B">
          <wp:simplePos x="0" y="0"/>
          <wp:positionH relativeFrom="page">
            <wp:align>left</wp:align>
          </wp:positionH>
          <wp:positionV relativeFrom="page">
            <wp:align>bottom</wp:align>
          </wp:positionV>
          <wp:extent cx="3061335" cy="2878455"/>
          <wp:effectExtent l="0" t="0" r="1206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49 DPAC Template Design_Blue2.jpg"/>
                  <pic:cNvPicPr/>
                </pic:nvPicPr>
                <pic:blipFill>
                  <a:blip r:embed="rId1">
                    <a:extLst>
                      <a:ext uri="{28A0092B-C50C-407E-A947-70E740481C1C}">
                        <a14:useLocalDpi xmlns:a14="http://schemas.microsoft.com/office/drawing/2010/main" val="0"/>
                      </a:ext>
                    </a:extLst>
                  </a:blip>
                  <a:stretch>
                    <a:fillRect/>
                  </a:stretch>
                </pic:blipFill>
                <pic:spPr>
                  <a:xfrm>
                    <a:off x="0" y="0"/>
                    <a:ext cx="3061335" cy="2878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E4B5D" w14:textId="77777777" w:rsidR="00681600" w:rsidRDefault="00681600">
    <w:pPr>
      <w:pStyle w:val="Header"/>
    </w:pPr>
    <w:r>
      <w:rPr>
        <w:noProof/>
        <w:lang w:val="en-AU" w:eastAsia="en-AU"/>
      </w:rPr>
      <w:drawing>
        <wp:anchor distT="0" distB="0" distL="114300" distR="114300" simplePos="0" relativeHeight="251653120" behindDoc="1" locked="0" layoutInCell="1" allowOverlap="1" wp14:anchorId="7E9F998D" wp14:editId="5B15A3BF">
          <wp:simplePos x="0" y="0"/>
          <wp:positionH relativeFrom="page">
            <wp:posOffset>-4445</wp:posOffset>
          </wp:positionH>
          <wp:positionV relativeFrom="page">
            <wp:posOffset>2946400</wp:posOffset>
          </wp:positionV>
          <wp:extent cx="7562032" cy="7740338"/>
          <wp:effectExtent l="0" t="0" r="762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49 DPAC Template Design_Blue.jpg"/>
                  <pic:cNvPicPr/>
                </pic:nvPicPr>
                <pic:blipFill>
                  <a:blip r:embed="rId1">
                    <a:extLst>
                      <a:ext uri="{28A0092B-C50C-407E-A947-70E740481C1C}">
                        <a14:useLocalDpi xmlns:a14="http://schemas.microsoft.com/office/drawing/2010/main" val="0"/>
                      </a:ext>
                    </a:extLst>
                  </a:blip>
                  <a:stretch>
                    <a:fillRect/>
                  </a:stretch>
                </pic:blipFill>
                <pic:spPr>
                  <a:xfrm>
                    <a:off x="0" y="0"/>
                    <a:ext cx="7562032" cy="774033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91854" w14:textId="77777777" w:rsidR="00681600" w:rsidRDefault="006816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72B47" w14:textId="37D25ED4" w:rsidR="00681600" w:rsidRDefault="006816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7EE6D" w14:textId="77777777" w:rsidR="00681600" w:rsidRDefault="006816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2FDC1" w14:textId="77777777" w:rsidR="00681600" w:rsidRDefault="006816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C1E38" w14:textId="77777777" w:rsidR="00681600" w:rsidRDefault="00681600">
    <w:pPr>
      <w:pStyle w:val="Header"/>
    </w:pPr>
    <w:r>
      <w:rPr>
        <w:noProof/>
        <w:lang w:val="en-AU" w:eastAsia="en-AU"/>
      </w:rPr>
      <w:drawing>
        <wp:anchor distT="0" distB="0" distL="114300" distR="114300" simplePos="0" relativeHeight="251662336" behindDoc="1" locked="1" layoutInCell="1" allowOverlap="1" wp14:anchorId="764B7B40" wp14:editId="07F309B3">
          <wp:simplePos x="0" y="0"/>
          <wp:positionH relativeFrom="page">
            <wp:align>left</wp:align>
          </wp:positionH>
          <wp:positionV relativeFrom="page">
            <wp:align>bottom</wp:align>
          </wp:positionV>
          <wp:extent cx="7563485" cy="1440815"/>
          <wp:effectExtent l="0" t="0" r="571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49 DPAC Template Design_Blue5.jpg"/>
                  <pic:cNvPicPr/>
                </pic:nvPicPr>
                <pic:blipFill>
                  <a:blip r:embed="rId1">
                    <a:extLst>
                      <a:ext uri="{28A0092B-C50C-407E-A947-70E740481C1C}">
                        <a14:useLocalDpi xmlns:a14="http://schemas.microsoft.com/office/drawing/2010/main" val="0"/>
                      </a:ext>
                    </a:extLst>
                  </a:blip>
                  <a:stretch>
                    <a:fillRect/>
                  </a:stretch>
                </pic:blipFill>
                <pic:spPr>
                  <a:xfrm>
                    <a:off x="0" y="0"/>
                    <a:ext cx="7563917" cy="144109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AB60" w14:textId="77777777" w:rsidR="00681600" w:rsidRDefault="00681600">
    <w:pPr>
      <w:pStyle w:val="Header"/>
    </w:pPr>
    <w:r>
      <w:rPr>
        <w:noProof/>
        <w:lang w:val="en-AU" w:eastAsia="en-AU"/>
      </w:rPr>
      <w:drawing>
        <wp:anchor distT="0" distB="0" distL="114300" distR="114300" simplePos="0" relativeHeight="251661312" behindDoc="1" locked="0" layoutInCell="1" allowOverlap="1" wp14:anchorId="2D177E95" wp14:editId="11C7BCD2">
          <wp:simplePos x="0" y="0"/>
          <wp:positionH relativeFrom="page">
            <wp:align>left</wp:align>
          </wp:positionH>
          <wp:positionV relativeFrom="page">
            <wp:align>top</wp:align>
          </wp:positionV>
          <wp:extent cx="7560762" cy="10692034"/>
          <wp:effectExtent l="0" t="0" r="889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49 DPAC Template Design_Blue.jpg"/>
                  <pic:cNvPicPr/>
                </pic:nvPicPr>
                <pic:blipFill>
                  <a:blip r:embed="rId1">
                    <a:extLst>
                      <a:ext uri="{28A0092B-C50C-407E-A947-70E740481C1C}">
                        <a14:useLocalDpi xmlns:a14="http://schemas.microsoft.com/office/drawing/2010/main" val="0"/>
                      </a:ext>
                    </a:extLst>
                  </a:blip>
                  <a:stretch>
                    <a:fillRect/>
                  </a:stretch>
                </pic:blipFill>
                <pic:spPr>
                  <a:xfrm>
                    <a:off x="0" y="0"/>
                    <a:ext cx="7560762" cy="1069203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41A9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E63E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59EC6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ACFF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646D4A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42C778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B68BA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9432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BC027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C82C3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41CEF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12C1B"/>
    <w:multiLevelType w:val="hybridMultilevel"/>
    <w:tmpl w:val="A028B80A"/>
    <w:lvl w:ilvl="0" w:tplc="B644F9D6">
      <w:numFmt w:val="bullet"/>
      <w:lvlText w:val="·"/>
      <w:lvlJc w:val="left"/>
      <w:pPr>
        <w:ind w:left="720" w:hanging="360"/>
      </w:pPr>
      <w:rPr>
        <w:rFonts w:ascii="GillSans Light" w:eastAsiaTheme="minorEastAsia" w:hAnsi="Gill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9D599B"/>
    <w:multiLevelType w:val="hybridMultilevel"/>
    <w:tmpl w:val="AB7A0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4626098"/>
    <w:multiLevelType w:val="hybridMultilevel"/>
    <w:tmpl w:val="E03AA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F67BBA"/>
    <w:multiLevelType w:val="hybridMultilevel"/>
    <w:tmpl w:val="C83E81FE"/>
    <w:lvl w:ilvl="0" w:tplc="B644F9D6">
      <w:numFmt w:val="bullet"/>
      <w:lvlText w:val="·"/>
      <w:lvlJc w:val="left"/>
      <w:pPr>
        <w:ind w:left="720" w:hanging="360"/>
      </w:pPr>
      <w:rPr>
        <w:rFonts w:ascii="GillSans Light" w:eastAsiaTheme="minorEastAsia" w:hAnsi="Gill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C51FF3"/>
    <w:multiLevelType w:val="hybridMultilevel"/>
    <w:tmpl w:val="CA92BFEE"/>
    <w:lvl w:ilvl="0" w:tplc="B644F9D6">
      <w:numFmt w:val="bullet"/>
      <w:lvlText w:val="·"/>
      <w:lvlJc w:val="left"/>
      <w:pPr>
        <w:ind w:left="720" w:hanging="360"/>
      </w:pPr>
      <w:rPr>
        <w:rFonts w:ascii="GillSans Light" w:eastAsiaTheme="minorEastAsia" w:hAnsi="Gill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026BCA"/>
    <w:multiLevelType w:val="hybridMultilevel"/>
    <w:tmpl w:val="05B69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65482A"/>
    <w:multiLevelType w:val="hybridMultilevel"/>
    <w:tmpl w:val="771AC02A"/>
    <w:lvl w:ilvl="0" w:tplc="B644F9D6">
      <w:numFmt w:val="bullet"/>
      <w:lvlText w:val="·"/>
      <w:lvlJc w:val="left"/>
      <w:pPr>
        <w:ind w:left="720" w:hanging="360"/>
      </w:pPr>
      <w:rPr>
        <w:rFonts w:ascii="GillSans Light" w:eastAsiaTheme="minorEastAsia" w:hAnsi="Gill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622EE6"/>
    <w:multiLevelType w:val="hybridMultilevel"/>
    <w:tmpl w:val="36CC88CA"/>
    <w:lvl w:ilvl="0" w:tplc="B644F9D6">
      <w:numFmt w:val="bullet"/>
      <w:lvlText w:val="·"/>
      <w:lvlJc w:val="left"/>
      <w:pPr>
        <w:ind w:left="720" w:hanging="360"/>
      </w:pPr>
      <w:rPr>
        <w:rFonts w:ascii="GillSans Light" w:eastAsiaTheme="minorEastAsia" w:hAnsi="GillSans Light" w:cstheme="minorBidi" w:hint="default"/>
      </w:rPr>
    </w:lvl>
    <w:lvl w:ilvl="1" w:tplc="B644F9D6">
      <w:numFmt w:val="bullet"/>
      <w:lvlText w:val="·"/>
      <w:lvlJc w:val="left"/>
      <w:pPr>
        <w:ind w:left="1440" w:hanging="360"/>
      </w:pPr>
      <w:rPr>
        <w:rFonts w:ascii="GillSans Light" w:eastAsiaTheme="minorEastAsia" w:hAnsi="GillSans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0A6A88"/>
    <w:multiLevelType w:val="hybridMultilevel"/>
    <w:tmpl w:val="4D5AE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070E29"/>
    <w:multiLevelType w:val="hybridMultilevel"/>
    <w:tmpl w:val="D34CC31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22820AAE"/>
    <w:multiLevelType w:val="hybridMultilevel"/>
    <w:tmpl w:val="DE5CF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48B342A"/>
    <w:multiLevelType w:val="hybridMultilevel"/>
    <w:tmpl w:val="503A587A"/>
    <w:lvl w:ilvl="0" w:tplc="B644F9D6">
      <w:numFmt w:val="bullet"/>
      <w:lvlText w:val="·"/>
      <w:lvlJc w:val="left"/>
      <w:pPr>
        <w:ind w:left="720" w:hanging="360"/>
      </w:pPr>
      <w:rPr>
        <w:rFonts w:ascii="GillSans Light" w:eastAsiaTheme="minorEastAsia" w:hAnsi="Gill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AF5455"/>
    <w:multiLevelType w:val="hybridMultilevel"/>
    <w:tmpl w:val="F19CB566"/>
    <w:lvl w:ilvl="0" w:tplc="B644F9D6">
      <w:numFmt w:val="bullet"/>
      <w:lvlText w:val="·"/>
      <w:lvlJc w:val="left"/>
      <w:pPr>
        <w:ind w:left="720" w:hanging="360"/>
      </w:pPr>
      <w:rPr>
        <w:rFonts w:ascii="GillSans Light" w:eastAsiaTheme="minorEastAsia" w:hAnsi="Gill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8C30616"/>
    <w:multiLevelType w:val="multilevel"/>
    <w:tmpl w:val="8C9EF89A"/>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A4440C1"/>
    <w:multiLevelType w:val="hybridMultilevel"/>
    <w:tmpl w:val="C748AA22"/>
    <w:lvl w:ilvl="0" w:tplc="B644F9D6">
      <w:numFmt w:val="bullet"/>
      <w:lvlText w:val="·"/>
      <w:lvlJc w:val="left"/>
      <w:pPr>
        <w:ind w:left="720" w:hanging="360"/>
      </w:pPr>
      <w:rPr>
        <w:rFonts w:ascii="GillSans Light" w:eastAsiaTheme="minorEastAsia" w:hAnsi="Gill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B35C95"/>
    <w:multiLevelType w:val="hybridMultilevel"/>
    <w:tmpl w:val="04EE5D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6276F3"/>
    <w:multiLevelType w:val="hybridMultilevel"/>
    <w:tmpl w:val="17FE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A676CF"/>
    <w:multiLevelType w:val="hybridMultilevel"/>
    <w:tmpl w:val="45B23760"/>
    <w:lvl w:ilvl="0" w:tplc="B644F9D6">
      <w:numFmt w:val="bullet"/>
      <w:lvlText w:val="·"/>
      <w:lvlJc w:val="left"/>
      <w:pPr>
        <w:ind w:left="720" w:hanging="360"/>
      </w:pPr>
      <w:rPr>
        <w:rFonts w:ascii="GillSans Light" w:eastAsiaTheme="minorEastAsia" w:hAnsi="Gill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D65813"/>
    <w:multiLevelType w:val="hybridMultilevel"/>
    <w:tmpl w:val="3EA24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2E3C39"/>
    <w:multiLevelType w:val="hybridMultilevel"/>
    <w:tmpl w:val="2CBED416"/>
    <w:lvl w:ilvl="0" w:tplc="B644F9D6">
      <w:numFmt w:val="bullet"/>
      <w:lvlText w:val="·"/>
      <w:lvlJc w:val="left"/>
      <w:pPr>
        <w:ind w:left="720" w:hanging="360"/>
      </w:pPr>
      <w:rPr>
        <w:rFonts w:ascii="GillSans Light" w:eastAsiaTheme="minorEastAsia" w:hAnsi="Gill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CE2251"/>
    <w:multiLevelType w:val="hybridMultilevel"/>
    <w:tmpl w:val="552292C4"/>
    <w:lvl w:ilvl="0" w:tplc="0C090001">
      <w:start w:val="1"/>
      <w:numFmt w:val="bullet"/>
      <w:lvlText w:val=""/>
      <w:lvlJc w:val="left"/>
      <w:pPr>
        <w:ind w:left="720" w:hanging="360"/>
      </w:pPr>
      <w:rPr>
        <w:rFonts w:ascii="Symbol" w:hAnsi="Symbol" w:hint="default"/>
      </w:rPr>
    </w:lvl>
    <w:lvl w:ilvl="1" w:tplc="06E6E976">
      <w:numFmt w:val="bullet"/>
      <w:lvlText w:val="•"/>
      <w:lvlJc w:val="left"/>
      <w:pPr>
        <w:ind w:left="1800" w:hanging="720"/>
      </w:pPr>
      <w:rPr>
        <w:rFonts w:ascii="GillSans Light" w:eastAsiaTheme="minorEastAsia" w:hAnsi="GillSans Light" w:cstheme="minorBid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833764"/>
    <w:multiLevelType w:val="hybridMultilevel"/>
    <w:tmpl w:val="5FCA5CE6"/>
    <w:lvl w:ilvl="0" w:tplc="B644F9D6">
      <w:numFmt w:val="bullet"/>
      <w:lvlText w:val="·"/>
      <w:lvlJc w:val="left"/>
      <w:pPr>
        <w:ind w:left="720" w:hanging="360"/>
      </w:pPr>
      <w:rPr>
        <w:rFonts w:ascii="GillSans Light" w:eastAsiaTheme="minorEastAsia" w:hAnsi="Gill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012072"/>
    <w:multiLevelType w:val="hybridMultilevel"/>
    <w:tmpl w:val="A4C259EA"/>
    <w:lvl w:ilvl="0" w:tplc="CAC0B7AA">
      <w:start w:val="1"/>
      <w:numFmt w:val="bullet"/>
      <w:pStyle w:val="ListParagraph"/>
      <w:lvlText w:val="•"/>
      <w:lvlJc w:val="left"/>
      <w:pPr>
        <w:ind w:left="720" w:hanging="360"/>
      </w:pPr>
      <w:rPr>
        <w:rFonts w:ascii="Gill Sans MT" w:hAnsi="Gill Sans 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F62DBE"/>
    <w:multiLevelType w:val="hybridMultilevel"/>
    <w:tmpl w:val="33884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2329D3"/>
    <w:multiLevelType w:val="hybridMultilevel"/>
    <w:tmpl w:val="9E9E854E"/>
    <w:lvl w:ilvl="0" w:tplc="76503818">
      <w:start w:val="1"/>
      <w:numFmt w:val="bullet"/>
      <w:lvlText w:val="•"/>
      <w:lvlJc w:val="left"/>
      <w:pPr>
        <w:ind w:left="720" w:hanging="360"/>
      </w:pPr>
      <w:rPr>
        <w:rFonts w:ascii="Gill Sans MT" w:hAnsi="Gill Sans MT" w:hint="default"/>
      </w:rPr>
    </w:lvl>
    <w:lvl w:ilvl="1" w:tplc="B644F9D6">
      <w:numFmt w:val="bullet"/>
      <w:lvlText w:val="·"/>
      <w:lvlJc w:val="left"/>
      <w:pPr>
        <w:ind w:left="1440" w:hanging="360"/>
      </w:pPr>
      <w:rPr>
        <w:rFonts w:ascii="GillSans Light" w:eastAsiaTheme="minorEastAsia" w:hAnsi="GillSans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F67D33"/>
    <w:multiLevelType w:val="hybridMultilevel"/>
    <w:tmpl w:val="7A6C1282"/>
    <w:lvl w:ilvl="0" w:tplc="05F261E8">
      <w:numFmt w:val="bullet"/>
      <w:lvlText w:val="-"/>
      <w:lvlJc w:val="left"/>
      <w:pPr>
        <w:ind w:left="644"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541690"/>
    <w:multiLevelType w:val="hybridMultilevel"/>
    <w:tmpl w:val="924CD648"/>
    <w:lvl w:ilvl="0" w:tplc="B644F9D6">
      <w:numFmt w:val="bullet"/>
      <w:lvlText w:val="·"/>
      <w:lvlJc w:val="left"/>
      <w:pPr>
        <w:ind w:left="720" w:hanging="360"/>
      </w:pPr>
      <w:rPr>
        <w:rFonts w:ascii="GillSans Light" w:eastAsiaTheme="minorEastAsia" w:hAnsi="Gill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E52871"/>
    <w:multiLevelType w:val="hybridMultilevel"/>
    <w:tmpl w:val="5C14E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E76C8B"/>
    <w:multiLevelType w:val="hybridMultilevel"/>
    <w:tmpl w:val="CFD6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9"/>
  </w:num>
  <w:num w:numId="13">
    <w:abstractNumId w:val="12"/>
  </w:num>
  <w:num w:numId="14">
    <w:abstractNumId w:val="27"/>
  </w:num>
  <w:num w:numId="15">
    <w:abstractNumId w:val="16"/>
  </w:num>
  <w:num w:numId="16">
    <w:abstractNumId w:val="18"/>
  </w:num>
  <w:num w:numId="17">
    <w:abstractNumId w:val="32"/>
  </w:num>
  <w:num w:numId="18">
    <w:abstractNumId w:val="22"/>
  </w:num>
  <w:num w:numId="19">
    <w:abstractNumId w:val="25"/>
  </w:num>
  <w:num w:numId="20">
    <w:abstractNumId w:val="23"/>
  </w:num>
  <w:num w:numId="21">
    <w:abstractNumId w:val="37"/>
  </w:num>
  <w:num w:numId="22">
    <w:abstractNumId w:val="15"/>
  </w:num>
  <w:num w:numId="23">
    <w:abstractNumId w:val="21"/>
  </w:num>
  <w:num w:numId="24">
    <w:abstractNumId w:val="34"/>
  </w:num>
  <w:num w:numId="25">
    <w:abstractNumId w:val="14"/>
  </w:num>
  <w:num w:numId="26">
    <w:abstractNumId w:val="17"/>
  </w:num>
  <w:num w:numId="27">
    <w:abstractNumId w:val="24"/>
  </w:num>
  <w:num w:numId="28">
    <w:abstractNumId w:val="36"/>
  </w:num>
  <w:num w:numId="29">
    <w:abstractNumId w:val="30"/>
  </w:num>
  <w:num w:numId="30">
    <w:abstractNumId w:val="19"/>
  </w:num>
  <w:num w:numId="31">
    <w:abstractNumId w:val="29"/>
  </w:num>
  <w:num w:numId="32">
    <w:abstractNumId w:val="13"/>
  </w:num>
  <w:num w:numId="33">
    <w:abstractNumId w:val="31"/>
  </w:num>
  <w:num w:numId="34">
    <w:abstractNumId w:val="28"/>
  </w:num>
  <w:num w:numId="35">
    <w:abstractNumId w:val="11"/>
  </w:num>
  <w:num w:numId="36">
    <w:abstractNumId w:val="38"/>
  </w:num>
  <w:num w:numId="37">
    <w:abstractNumId w:val="33"/>
  </w:num>
  <w:num w:numId="38">
    <w:abstractNumId w:val="33"/>
  </w:num>
  <w:num w:numId="39">
    <w:abstractNumId w:val="33"/>
  </w:num>
  <w:num w:numId="40">
    <w:abstractNumId w:val="20"/>
  </w:num>
  <w:num w:numId="41">
    <w:abstractNumId w:val="3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Outlines" w:val="1"/>
  </w:docVars>
  <w:rsids>
    <w:rsidRoot w:val="006876EE"/>
    <w:rsid w:val="00010617"/>
    <w:rsid w:val="00020592"/>
    <w:rsid w:val="00022E5D"/>
    <w:rsid w:val="0002529E"/>
    <w:rsid w:val="0002749D"/>
    <w:rsid w:val="00047434"/>
    <w:rsid w:val="000668B0"/>
    <w:rsid w:val="00067C5E"/>
    <w:rsid w:val="00075484"/>
    <w:rsid w:val="000C1D67"/>
    <w:rsid w:val="000C5EA6"/>
    <w:rsid w:val="000D630E"/>
    <w:rsid w:val="00107094"/>
    <w:rsid w:val="0010714E"/>
    <w:rsid w:val="001238D3"/>
    <w:rsid w:val="00126811"/>
    <w:rsid w:val="00130CE3"/>
    <w:rsid w:val="001525F3"/>
    <w:rsid w:val="001563CE"/>
    <w:rsid w:val="00162662"/>
    <w:rsid w:val="00165CFE"/>
    <w:rsid w:val="00170399"/>
    <w:rsid w:val="001744AE"/>
    <w:rsid w:val="001B3041"/>
    <w:rsid w:val="001D3F05"/>
    <w:rsid w:val="001F26DC"/>
    <w:rsid w:val="0020110C"/>
    <w:rsid w:val="002257B0"/>
    <w:rsid w:val="00241847"/>
    <w:rsid w:val="002508AA"/>
    <w:rsid w:val="00255565"/>
    <w:rsid w:val="002603C8"/>
    <w:rsid w:val="00273FBA"/>
    <w:rsid w:val="00281CD7"/>
    <w:rsid w:val="00282BDD"/>
    <w:rsid w:val="00294025"/>
    <w:rsid w:val="002A4B63"/>
    <w:rsid w:val="002B3331"/>
    <w:rsid w:val="002B490E"/>
    <w:rsid w:val="002C24B9"/>
    <w:rsid w:val="002C5FB7"/>
    <w:rsid w:val="002D687F"/>
    <w:rsid w:val="002E2C9C"/>
    <w:rsid w:val="002E3964"/>
    <w:rsid w:val="002E7791"/>
    <w:rsid w:val="002F0032"/>
    <w:rsid w:val="0030103C"/>
    <w:rsid w:val="0031406A"/>
    <w:rsid w:val="00316CCA"/>
    <w:rsid w:val="00322F44"/>
    <w:rsid w:val="003723A4"/>
    <w:rsid w:val="003A0216"/>
    <w:rsid w:val="003C7E0B"/>
    <w:rsid w:val="003D64A1"/>
    <w:rsid w:val="003D701C"/>
    <w:rsid w:val="003E0A0D"/>
    <w:rsid w:val="003E0DB3"/>
    <w:rsid w:val="003F4B90"/>
    <w:rsid w:val="00404029"/>
    <w:rsid w:val="0041164C"/>
    <w:rsid w:val="004549E2"/>
    <w:rsid w:val="00462FA9"/>
    <w:rsid w:val="00464FFA"/>
    <w:rsid w:val="0047070E"/>
    <w:rsid w:val="004853C0"/>
    <w:rsid w:val="004A3930"/>
    <w:rsid w:val="004C1D90"/>
    <w:rsid w:val="004C617C"/>
    <w:rsid w:val="004D17F3"/>
    <w:rsid w:val="00500FA9"/>
    <w:rsid w:val="00515728"/>
    <w:rsid w:val="005332F7"/>
    <w:rsid w:val="00534677"/>
    <w:rsid w:val="00555DAD"/>
    <w:rsid w:val="00561CB1"/>
    <w:rsid w:val="005A0C2B"/>
    <w:rsid w:val="005D5EC2"/>
    <w:rsid w:val="005E3FFC"/>
    <w:rsid w:val="005E48F9"/>
    <w:rsid w:val="00606B16"/>
    <w:rsid w:val="006104A1"/>
    <w:rsid w:val="006167D4"/>
    <w:rsid w:val="00681600"/>
    <w:rsid w:val="0068449B"/>
    <w:rsid w:val="006876EE"/>
    <w:rsid w:val="00691FAB"/>
    <w:rsid w:val="006B0BFD"/>
    <w:rsid w:val="006C16AA"/>
    <w:rsid w:val="006F212F"/>
    <w:rsid w:val="00721613"/>
    <w:rsid w:val="007225CB"/>
    <w:rsid w:val="007274E1"/>
    <w:rsid w:val="00733FEF"/>
    <w:rsid w:val="00735CF0"/>
    <w:rsid w:val="007362A6"/>
    <w:rsid w:val="00736AA6"/>
    <w:rsid w:val="00740088"/>
    <w:rsid w:val="00762BD5"/>
    <w:rsid w:val="0078010C"/>
    <w:rsid w:val="00780880"/>
    <w:rsid w:val="0079176F"/>
    <w:rsid w:val="00792481"/>
    <w:rsid w:val="00794510"/>
    <w:rsid w:val="00796535"/>
    <w:rsid w:val="007A31E0"/>
    <w:rsid w:val="007D067D"/>
    <w:rsid w:val="00801634"/>
    <w:rsid w:val="00807973"/>
    <w:rsid w:val="008165C8"/>
    <w:rsid w:val="0083098A"/>
    <w:rsid w:val="0083748D"/>
    <w:rsid w:val="00854441"/>
    <w:rsid w:val="00872142"/>
    <w:rsid w:val="00875EF2"/>
    <w:rsid w:val="00877C6C"/>
    <w:rsid w:val="0088584A"/>
    <w:rsid w:val="0089004A"/>
    <w:rsid w:val="008A0F74"/>
    <w:rsid w:val="008A2618"/>
    <w:rsid w:val="008D38EF"/>
    <w:rsid w:val="008E5CBD"/>
    <w:rsid w:val="00900AB7"/>
    <w:rsid w:val="00900C76"/>
    <w:rsid w:val="00914828"/>
    <w:rsid w:val="009154BF"/>
    <w:rsid w:val="00940C70"/>
    <w:rsid w:val="00954843"/>
    <w:rsid w:val="00966134"/>
    <w:rsid w:val="009754DF"/>
    <w:rsid w:val="009806EB"/>
    <w:rsid w:val="0098109E"/>
    <w:rsid w:val="0098309A"/>
    <w:rsid w:val="00992163"/>
    <w:rsid w:val="009A3020"/>
    <w:rsid w:val="009B06EC"/>
    <w:rsid w:val="009B261E"/>
    <w:rsid w:val="009B2BDB"/>
    <w:rsid w:val="009B7393"/>
    <w:rsid w:val="009C531C"/>
    <w:rsid w:val="009C7A3D"/>
    <w:rsid w:val="009D0BB8"/>
    <w:rsid w:val="009D21FB"/>
    <w:rsid w:val="009F3D70"/>
    <w:rsid w:val="009F47A8"/>
    <w:rsid w:val="009F4969"/>
    <w:rsid w:val="00A00BA2"/>
    <w:rsid w:val="00A37ADB"/>
    <w:rsid w:val="00A402A1"/>
    <w:rsid w:val="00A46F3E"/>
    <w:rsid w:val="00A74007"/>
    <w:rsid w:val="00A75546"/>
    <w:rsid w:val="00A800CD"/>
    <w:rsid w:val="00A940FB"/>
    <w:rsid w:val="00AA465B"/>
    <w:rsid w:val="00AA652E"/>
    <w:rsid w:val="00AB487F"/>
    <w:rsid w:val="00AD1772"/>
    <w:rsid w:val="00AE2D36"/>
    <w:rsid w:val="00AE2D73"/>
    <w:rsid w:val="00AE6179"/>
    <w:rsid w:val="00AF1A9E"/>
    <w:rsid w:val="00B031BE"/>
    <w:rsid w:val="00B04A88"/>
    <w:rsid w:val="00B07B6C"/>
    <w:rsid w:val="00B14F22"/>
    <w:rsid w:val="00B3710C"/>
    <w:rsid w:val="00B47562"/>
    <w:rsid w:val="00B528A8"/>
    <w:rsid w:val="00B53313"/>
    <w:rsid w:val="00B70537"/>
    <w:rsid w:val="00B9710F"/>
    <w:rsid w:val="00BC309D"/>
    <w:rsid w:val="00BC7A43"/>
    <w:rsid w:val="00BD3949"/>
    <w:rsid w:val="00BE5C74"/>
    <w:rsid w:val="00C031E7"/>
    <w:rsid w:val="00C17F16"/>
    <w:rsid w:val="00C221DC"/>
    <w:rsid w:val="00C23A30"/>
    <w:rsid w:val="00C33646"/>
    <w:rsid w:val="00C341C2"/>
    <w:rsid w:val="00C540BD"/>
    <w:rsid w:val="00C55AA6"/>
    <w:rsid w:val="00C56609"/>
    <w:rsid w:val="00C619DA"/>
    <w:rsid w:val="00C91C49"/>
    <w:rsid w:val="00C96584"/>
    <w:rsid w:val="00CA25A9"/>
    <w:rsid w:val="00CA3CEA"/>
    <w:rsid w:val="00CA4B73"/>
    <w:rsid w:val="00CC04EF"/>
    <w:rsid w:val="00CC10F3"/>
    <w:rsid w:val="00CC4DA0"/>
    <w:rsid w:val="00CE4ACC"/>
    <w:rsid w:val="00CF427B"/>
    <w:rsid w:val="00D11361"/>
    <w:rsid w:val="00D3084C"/>
    <w:rsid w:val="00D46A8A"/>
    <w:rsid w:val="00D5251C"/>
    <w:rsid w:val="00D54D43"/>
    <w:rsid w:val="00D56196"/>
    <w:rsid w:val="00D60A50"/>
    <w:rsid w:val="00D63E40"/>
    <w:rsid w:val="00D65D4A"/>
    <w:rsid w:val="00D67F0B"/>
    <w:rsid w:val="00D77FE0"/>
    <w:rsid w:val="00D909E4"/>
    <w:rsid w:val="00D93CBD"/>
    <w:rsid w:val="00DA5821"/>
    <w:rsid w:val="00DA5FFF"/>
    <w:rsid w:val="00DB722A"/>
    <w:rsid w:val="00DC7B9A"/>
    <w:rsid w:val="00DF2CB4"/>
    <w:rsid w:val="00DF5911"/>
    <w:rsid w:val="00E473D5"/>
    <w:rsid w:val="00E525C2"/>
    <w:rsid w:val="00E66AE2"/>
    <w:rsid w:val="00E82C92"/>
    <w:rsid w:val="00E84D33"/>
    <w:rsid w:val="00E85682"/>
    <w:rsid w:val="00E857C0"/>
    <w:rsid w:val="00E958E0"/>
    <w:rsid w:val="00EA60E8"/>
    <w:rsid w:val="00ED3D1A"/>
    <w:rsid w:val="00EE0D4A"/>
    <w:rsid w:val="00EE0FCD"/>
    <w:rsid w:val="00F02998"/>
    <w:rsid w:val="00F15ABB"/>
    <w:rsid w:val="00F4174A"/>
    <w:rsid w:val="00F51996"/>
    <w:rsid w:val="00F54FD5"/>
    <w:rsid w:val="00F81CAF"/>
    <w:rsid w:val="00F926D4"/>
    <w:rsid w:val="00FA27D4"/>
    <w:rsid w:val="00FA3BCE"/>
    <w:rsid w:val="00FC3BF3"/>
    <w:rsid w:val="00FC3DF2"/>
    <w:rsid w:val="00FC4CF8"/>
    <w:rsid w:val="00FD0B41"/>
    <w:rsid w:val="00FD477F"/>
    <w:rsid w:val="00FE3C32"/>
    <w:rsid w:val="00FE51F9"/>
    <w:rsid w:val="00FE78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54606D"/>
  <w15:docId w15:val="{28EE55D4-E856-46B3-999D-480F5DA8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8A8"/>
    <w:pPr>
      <w:spacing w:before="120" w:after="120"/>
    </w:pPr>
  </w:style>
  <w:style w:type="paragraph" w:styleId="Heading1">
    <w:name w:val="heading 1"/>
    <w:basedOn w:val="Normal"/>
    <w:next w:val="Normal"/>
    <w:link w:val="Heading1Char"/>
    <w:uiPriority w:val="9"/>
    <w:qFormat/>
    <w:rsid w:val="007225CB"/>
    <w:pPr>
      <w:keepNext/>
      <w:keepLines/>
      <w:pageBreakBefore/>
      <w:spacing w:before="240" w:after="0"/>
      <w:outlineLvl w:val="0"/>
    </w:pPr>
    <w:rPr>
      <w:rFonts w:asciiTheme="majorHAnsi" w:eastAsiaTheme="majorEastAsia" w:hAnsiTheme="majorHAnsi" w:cstheme="majorBidi"/>
      <w:caps/>
      <w:color w:val="007DB7"/>
      <w:sz w:val="72"/>
      <w:szCs w:val="56"/>
      <w:lang w:val="en-AU"/>
    </w:rPr>
  </w:style>
  <w:style w:type="paragraph" w:styleId="Heading2">
    <w:name w:val="heading 2"/>
    <w:basedOn w:val="Normal"/>
    <w:next w:val="Normal"/>
    <w:link w:val="Heading2Char"/>
    <w:uiPriority w:val="9"/>
    <w:unhideWhenUsed/>
    <w:qFormat/>
    <w:rsid w:val="006876EE"/>
    <w:pPr>
      <w:keepNext/>
      <w:keepLines/>
      <w:spacing w:before="0"/>
      <w:outlineLvl w:val="1"/>
    </w:pPr>
    <w:rPr>
      <w:rFonts w:asciiTheme="majorHAnsi" w:eastAsiaTheme="majorEastAsia" w:hAnsiTheme="majorHAnsi" w:cstheme="majorBidi"/>
      <w:bCs/>
      <w:color w:val="007DB7"/>
      <w:sz w:val="40"/>
      <w:szCs w:val="26"/>
    </w:rPr>
  </w:style>
  <w:style w:type="paragraph" w:styleId="Heading3">
    <w:name w:val="heading 3"/>
    <w:basedOn w:val="Normal"/>
    <w:next w:val="Normal"/>
    <w:link w:val="Heading3Char"/>
    <w:uiPriority w:val="9"/>
    <w:unhideWhenUsed/>
    <w:qFormat/>
    <w:rsid w:val="006876EE"/>
    <w:pPr>
      <w:keepNext/>
      <w:keepLines/>
      <w:spacing w:before="200"/>
      <w:outlineLvl w:val="2"/>
    </w:pPr>
    <w:rPr>
      <w:rFonts w:asciiTheme="majorHAnsi" w:eastAsiaTheme="majorEastAsia" w:hAnsiTheme="majorHAnsi" w:cstheme="majorBidi"/>
      <w:bCs/>
      <w:color w:val="007DB7"/>
      <w:sz w:val="32"/>
    </w:rPr>
  </w:style>
  <w:style w:type="paragraph" w:styleId="Heading4">
    <w:name w:val="heading 4"/>
    <w:basedOn w:val="Normal"/>
    <w:next w:val="Normal"/>
    <w:link w:val="Heading4Char"/>
    <w:uiPriority w:val="9"/>
    <w:unhideWhenUsed/>
    <w:qFormat/>
    <w:rsid w:val="00B528A8"/>
    <w:pPr>
      <w:keepNext/>
      <w:keepLines/>
      <w:spacing w:before="200"/>
      <w:outlineLvl w:val="3"/>
    </w:pPr>
    <w:rPr>
      <w:rFonts w:asciiTheme="majorHAnsi" w:eastAsiaTheme="majorEastAsia" w:hAnsiTheme="majorHAnsi" w:cstheme="majorBidi"/>
      <w:bCs/>
      <w:i/>
      <w:iCs/>
      <w:color w:val="116491" w:themeColor="accent5"/>
      <w:sz w:val="32"/>
    </w:rPr>
  </w:style>
  <w:style w:type="paragraph" w:styleId="Heading5">
    <w:name w:val="heading 5"/>
    <w:basedOn w:val="Normal"/>
    <w:next w:val="Normal"/>
    <w:link w:val="Heading5Char"/>
    <w:uiPriority w:val="9"/>
    <w:unhideWhenUsed/>
    <w:qFormat/>
    <w:rsid w:val="00B528A8"/>
    <w:pPr>
      <w:keepNext/>
      <w:keepLines/>
      <w:spacing w:before="20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B528A8"/>
    <w:pPr>
      <w:keepNext/>
      <w:keepLines/>
      <w:spacing w:before="200"/>
      <w:outlineLvl w:val="5"/>
    </w:pPr>
    <w:rPr>
      <w:rFonts w:asciiTheme="majorHAnsi" w:eastAsiaTheme="majorEastAsia" w:hAnsiTheme="majorHAnsi" w:cstheme="majorBidi"/>
      <w:b/>
      <w:i/>
      <w:iCs/>
      <w:color w:val="000000" w:themeColor="text1"/>
    </w:rPr>
  </w:style>
  <w:style w:type="paragraph" w:styleId="Heading7">
    <w:name w:val="heading 7"/>
    <w:basedOn w:val="Normal"/>
    <w:next w:val="Normal"/>
    <w:link w:val="Heading7Char"/>
    <w:uiPriority w:val="9"/>
    <w:unhideWhenUsed/>
    <w:qFormat/>
    <w:rsid w:val="001238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238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238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C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CEA"/>
    <w:rPr>
      <w:rFonts w:ascii="Lucida Grande" w:hAnsi="Lucida Grande" w:cs="Lucida Grande"/>
      <w:sz w:val="18"/>
      <w:szCs w:val="18"/>
    </w:rPr>
  </w:style>
  <w:style w:type="paragraph" w:customStyle="1" w:styleId="BasicParagraph">
    <w:name w:val="[Basic Paragraph]"/>
    <w:basedOn w:val="Normal"/>
    <w:uiPriority w:val="99"/>
    <w:rsid w:val="00CA3CEA"/>
    <w:pPr>
      <w:widowControl w:val="0"/>
      <w:tabs>
        <w:tab w:val="left" w:pos="283"/>
        <w:tab w:val="left" w:pos="567"/>
        <w:tab w:val="left" w:pos="850"/>
        <w:tab w:val="left" w:pos="1134"/>
        <w:tab w:val="left" w:pos="1417"/>
        <w:tab w:val="left" w:pos="1701"/>
      </w:tabs>
      <w:autoSpaceDE w:val="0"/>
      <w:autoSpaceDN w:val="0"/>
      <w:adjustRightInd w:val="0"/>
      <w:spacing w:before="113" w:line="288" w:lineRule="auto"/>
      <w:textAlignment w:val="center"/>
    </w:pPr>
    <w:rPr>
      <w:rFonts w:ascii="GillSans-Light" w:hAnsi="GillSans-Light" w:cs="GillSans-Light"/>
      <w:color w:val="000000"/>
      <w:sz w:val="18"/>
      <w:szCs w:val="18"/>
      <w:lang w:val="en-GB"/>
    </w:rPr>
  </w:style>
  <w:style w:type="character" w:customStyle="1" w:styleId="Heading1Char">
    <w:name w:val="Heading 1 Char"/>
    <w:basedOn w:val="DefaultParagraphFont"/>
    <w:link w:val="Heading1"/>
    <w:uiPriority w:val="9"/>
    <w:rsid w:val="007225CB"/>
    <w:rPr>
      <w:rFonts w:asciiTheme="majorHAnsi" w:eastAsiaTheme="majorEastAsia" w:hAnsiTheme="majorHAnsi" w:cstheme="majorBidi"/>
      <w:caps/>
      <w:color w:val="007DB7"/>
      <w:sz w:val="72"/>
      <w:szCs w:val="56"/>
      <w:lang w:val="en-AU"/>
    </w:rPr>
  </w:style>
  <w:style w:type="character" w:customStyle="1" w:styleId="Heading2Char">
    <w:name w:val="Heading 2 Char"/>
    <w:basedOn w:val="DefaultParagraphFont"/>
    <w:link w:val="Heading2"/>
    <w:uiPriority w:val="9"/>
    <w:rsid w:val="006876EE"/>
    <w:rPr>
      <w:rFonts w:asciiTheme="majorHAnsi" w:eastAsiaTheme="majorEastAsia" w:hAnsiTheme="majorHAnsi" w:cstheme="majorBidi"/>
      <w:bCs/>
      <w:color w:val="007DB7"/>
      <w:sz w:val="40"/>
      <w:szCs w:val="26"/>
    </w:rPr>
  </w:style>
  <w:style w:type="paragraph" w:styleId="Title">
    <w:name w:val="Title"/>
    <w:aliases w:val="Cover Title"/>
    <w:basedOn w:val="Normal"/>
    <w:next w:val="Normal"/>
    <w:link w:val="TitleChar"/>
    <w:uiPriority w:val="10"/>
    <w:qFormat/>
    <w:rsid w:val="006876EE"/>
    <w:pPr>
      <w:contextualSpacing/>
      <w:jc w:val="right"/>
    </w:pPr>
    <w:rPr>
      <w:rFonts w:asciiTheme="majorHAnsi" w:eastAsiaTheme="majorEastAsia" w:hAnsiTheme="majorHAnsi" w:cstheme="majorBidi"/>
      <w:color w:val="007DB7"/>
      <w:spacing w:val="5"/>
      <w:kern w:val="28"/>
      <w:sz w:val="110"/>
      <w:szCs w:val="52"/>
    </w:rPr>
  </w:style>
  <w:style w:type="character" w:customStyle="1" w:styleId="TitleChar">
    <w:name w:val="Title Char"/>
    <w:aliases w:val="Cover Title Char"/>
    <w:basedOn w:val="DefaultParagraphFont"/>
    <w:link w:val="Title"/>
    <w:uiPriority w:val="10"/>
    <w:rsid w:val="006876EE"/>
    <w:rPr>
      <w:rFonts w:asciiTheme="majorHAnsi" w:eastAsiaTheme="majorEastAsia" w:hAnsiTheme="majorHAnsi" w:cstheme="majorBidi"/>
      <w:color w:val="007DB7"/>
      <w:spacing w:val="5"/>
      <w:kern w:val="28"/>
      <w:sz w:val="110"/>
      <w:szCs w:val="52"/>
    </w:rPr>
  </w:style>
  <w:style w:type="paragraph" w:styleId="Subtitle">
    <w:name w:val="Subtitle"/>
    <w:aliases w:val="Cover Subtitle"/>
    <w:basedOn w:val="Normal"/>
    <w:next w:val="Normal"/>
    <w:link w:val="SubtitleChar"/>
    <w:uiPriority w:val="11"/>
    <w:qFormat/>
    <w:rsid w:val="009F4969"/>
    <w:pPr>
      <w:numPr>
        <w:ilvl w:val="1"/>
      </w:numPr>
      <w:ind w:left="1440"/>
    </w:pPr>
    <w:rPr>
      <w:rFonts w:asciiTheme="majorHAnsi" w:eastAsiaTheme="majorEastAsia" w:hAnsiTheme="majorHAnsi" w:cstheme="majorBidi"/>
      <w:iCs/>
      <w:color w:val="000000" w:themeColor="text1"/>
      <w:spacing w:val="15"/>
      <w:sz w:val="56"/>
    </w:rPr>
  </w:style>
  <w:style w:type="character" w:customStyle="1" w:styleId="SubtitleChar">
    <w:name w:val="Subtitle Char"/>
    <w:aliases w:val="Cover Subtitle Char"/>
    <w:basedOn w:val="DefaultParagraphFont"/>
    <w:link w:val="Subtitle"/>
    <w:uiPriority w:val="11"/>
    <w:rsid w:val="009F4969"/>
    <w:rPr>
      <w:rFonts w:asciiTheme="majorHAnsi" w:eastAsiaTheme="majorEastAsia" w:hAnsiTheme="majorHAnsi" w:cstheme="majorBidi"/>
      <w:iCs/>
      <w:color w:val="000000" w:themeColor="text1"/>
      <w:spacing w:val="15"/>
      <w:sz w:val="56"/>
    </w:rPr>
  </w:style>
  <w:style w:type="character" w:styleId="IntenseEmphasis">
    <w:name w:val="Intense Emphasis"/>
    <w:basedOn w:val="DefaultParagraphFont"/>
    <w:uiPriority w:val="21"/>
    <w:qFormat/>
    <w:rsid w:val="00B04A88"/>
    <w:rPr>
      <w:b/>
      <w:bCs/>
      <w:i/>
      <w:iCs/>
      <w:color w:val="116491" w:themeColor="accent5"/>
    </w:rPr>
  </w:style>
  <w:style w:type="paragraph" w:styleId="IntenseQuote">
    <w:name w:val="Intense Quote"/>
    <w:basedOn w:val="Normal"/>
    <w:next w:val="Normal"/>
    <w:link w:val="IntenseQuoteChar"/>
    <w:uiPriority w:val="30"/>
    <w:qFormat/>
    <w:rsid w:val="00555DAD"/>
    <w:pPr>
      <w:pBdr>
        <w:top w:val="single" w:sz="4" w:space="6" w:color="0C4A6C" w:themeColor="accent5" w:themeShade="BF"/>
        <w:bottom w:val="single" w:sz="4" w:space="6" w:color="0C4A6C" w:themeColor="accent5" w:themeShade="BF"/>
      </w:pBdr>
      <w:spacing w:before="360" w:after="360"/>
      <w:ind w:left="936" w:right="936"/>
    </w:pPr>
    <w:rPr>
      <w:b/>
      <w:bCs/>
      <w:i/>
      <w:iCs/>
      <w:color w:val="116491" w:themeColor="accent5"/>
      <w:sz w:val="32"/>
      <w14:textOutline w14:w="9525" w14:cap="rnd" w14:cmpd="sng" w14:algn="ctr">
        <w14:noFill/>
        <w14:prstDash w14:val="solid"/>
        <w14:bevel/>
      </w14:textOutline>
    </w:rPr>
  </w:style>
  <w:style w:type="character" w:customStyle="1" w:styleId="IntenseQuoteChar">
    <w:name w:val="Intense Quote Char"/>
    <w:basedOn w:val="DefaultParagraphFont"/>
    <w:link w:val="IntenseQuote"/>
    <w:uiPriority w:val="30"/>
    <w:rsid w:val="00555DAD"/>
    <w:rPr>
      <w:b/>
      <w:bCs/>
      <w:i/>
      <w:iCs/>
      <w:color w:val="116491" w:themeColor="accent5"/>
      <w:sz w:val="32"/>
      <w14:textOutline w14:w="9525" w14:cap="rnd" w14:cmpd="sng" w14:algn="ctr">
        <w14:noFill/>
        <w14:prstDash w14:val="solid"/>
        <w14:bevel/>
      </w14:textOutline>
    </w:rPr>
  </w:style>
  <w:style w:type="character" w:styleId="SubtleReference">
    <w:name w:val="Subtle Reference"/>
    <w:basedOn w:val="DefaultParagraphFont"/>
    <w:uiPriority w:val="31"/>
    <w:qFormat/>
    <w:rsid w:val="00B04A88"/>
    <w:rPr>
      <w:smallCaps/>
      <w:color w:val="116491" w:themeColor="accent5"/>
      <w:u w:val="single"/>
    </w:rPr>
  </w:style>
  <w:style w:type="character" w:styleId="IntenseReference">
    <w:name w:val="Intense Reference"/>
    <w:basedOn w:val="DefaultParagraphFont"/>
    <w:uiPriority w:val="32"/>
    <w:qFormat/>
    <w:rsid w:val="00B04A88"/>
    <w:rPr>
      <w:b/>
      <w:bCs/>
      <w:smallCaps/>
      <w:color w:val="116491" w:themeColor="accent5"/>
      <w:spacing w:val="5"/>
      <w:u w:val="single"/>
    </w:rPr>
  </w:style>
  <w:style w:type="paragraph" w:styleId="Header">
    <w:name w:val="header"/>
    <w:basedOn w:val="Normal"/>
    <w:link w:val="HeaderChar"/>
    <w:uiPriority w:val="99"/>
    <w:unhideWhenUsed/>
    <w:rsid w:val="00561CB1"/>
    <w:pPr>
      <w:tabs>
        <w:tab w:val="center" w:pos="4320"/>
        <w:tab w:val="right" w:pos="8640"/>
      </w:tabs>
    </w:pPr>
  </w:style>
  <w:style w:type="character" w:customStyle="1" w:styleId="HeaderChar">
    <w:name w:val="Header Char"/>
    <w:basedOn w:val="DefaultParagraphFont"/>
    <w:link w:val="Header"/>
    <w:uiPriority w:val="99"/>
    <w:rsid w:val="00561CB1"/>
  </w:style>
  <w:style w:type="paragraph" w:styleId="Footer">
    <w:name w:val="footer"/>
    <w:basedOn w:val="Normal"/>
    <w:link w:val="FooterChar"/>
    <w:uiPriority w:val="99"/>
    <w:unhideWhenUsed/>
    <w:rsid w:val="00900AB7"/>
    <w:pPr>
      <w:tabs>
        <w:tab w:val="center" w:pos="4320"/>
        <w:tab w:val="right" w:pos="8640"/>
      </w:tabs>
      <w:spacing w:before="0" w:after="0"/>
    </w:pPr>
    <w:rPr>
      <w:sz w:val="20"/>
    </w:rPr>
  </w:style>
  <w:style w:type="character" w:customStyle="1" w:styleId="FooterChar">
    <w:name w:val="Footer Char"/>
    <w:basedOn w:val="DefaultParagraphFont"/>
    <w:link w:val="Footer"/>
    <w:uiPriority w:val="99"/>
    <w:rsid w:val="00900AB7"/>
    <w:rPr>
      <w:sz w:val="20"/>
    </w:rPr>
  </w:style>
  <w:style w:type="paragraph" w:customStyle="1" w:styleId="CoverDepartmentName">
    <w:name w:val="Cover Department Name"/>
    <w:basedOn w:val="Normal"/>
    <w:qFormat/>
    <w:rsid w:val="00900AB7"/>
    <w:pPr>
      <w:spacing w:before="0" w:after="0" w:line="264" w:lineRule="auto"/>
    </w:pPr>
    <w:rPr>
      <w:spacing w:val="32"/>
      <w:kern w:val="20"/>
    </w:rPr>
  </w:style>
  <w:style w:type="character" w:customStyle="1" w:styleId="Heading3Char">
    <w:name w:val="Heading 3 Char"/>
    <w:basedOn w:val="DefaultParagraphFont"/>
    <w:link w:val="Heading3"/>
    <w:uiPriority w:val="9"/>
    <w:rsid w:val="006876EE"/>
    <w:rPr>
      <w:rFonts w:asciiTheme="majorHAnsi" w:eastAsiaTheme="majorEastAsia" w:hAnsiTheme="majorHAnsi" w:cstheme="majorBidi"/>
      <w:bCs/>
      <w:color w:val="007DB7"/>
      <w:sz w:val="32"/>
    </w:rPr>
  </w:style>
  <w:style w:type="character" w:customStyle="1" w:styleId="Heading4Char">
    <w:name w:val="Heading 4 Char"/>
    <w:basedOn w:val="DefaultParagraphFont"/>
    <w:link w:val="Heading4"/>
    <w:uiPriority w:val="9"/>
    <w:rsid w:val="00B528A8"/>
    <w:rPr>
      <w:rFonts w:asciiTheme="majorHAnsi" w:eastAsiaTheme="majorEastAsia" w:hAnsiTheme="majorHAnsi" w:cstheme="majorBidi"/>
      <w:bCs/>
      <w:i/>
      <w:iCs/>
      <w:color w:val="116491" w:themeColor="accent5"/>
      <w:sz w:val="32"/>
    </w:rPr>
  </w:style>
  <w:style w:type="character" w:customStyle="1" w:styleId="Heading5Char">
    <w:name w:val="Heading 5 Char"/>
    <w:basedOn w:val="DefaultParagraphFont"/>
    <w:link w:val="Heading5"/>
    <w:uiPriority w:val="9"/>
    <w:rsid w:val="00B528A8"/>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rsid w:val="00B528A8"/>
    <w:rPr>
      <w:rFonts w:asciiTheme="majorHAnsi" w:eastAsiaTheme="majorEastAsia" w:hAnsiTheme="majorHAnsi" w:cstheme="majorBidi"/>
      <w:b/>
      <w:i/>
      <w:iCs/>
      <w:color w:val="000000" w:themeColor="text1"/>
    </w:rPr>
  </w:style>
  <w:style w:type="paragraph" w:styleId="Caption">
    <w:name w:val="caption"/>
    <w:basedOn w:val="Normal"/>
    <w:next w:val="Normal"/>
    <w:uiPriority w:val="35"/>
    <w:unhideWhenUsed/>
    <w:qFormat/>
    <w:rsid w:val="00E958E0"/>
    <w:pPr>
      <w:spacing w:after="200"/>
    </w:pPr>
    <w:rPr>
      <w:b/>
      <w:bCs/>
      <w:i/>
      <w:color w:val="7F7F7F" w:themeColor="text1" w:themeTint="80"/>
      <w:sz w:val="18"/>
      <w:szCs w:val="18"/>
    </w:rPr>
  </w:style>
  <w:style w:type="paragraph" w:styleId="TOCHeading">
    <w:name w:val="TOC Heading"/>
    <w:basedOn w:val="Heading1"/>
    <w:next w:val="Normal"/>
    <w:uiPriority w:val="39"/>
    <w:unhideWhenUsed/>
    <w:qFormat/>
    <w:rsid w:val="00762BD5"/>
    <w:pPr>
      <w:outlineLvl w:val="9"/>
    </w:pPr>
    <w:rPr>
      <w:szCs w:val="72"/>
    </w:rPr>
  </w:style>
  <w:style w:type="paragraph" w:styleId="BlockText">
    <w:name w:val="Block Text"/>
    <w:basedOn w:val="Normal"/>
    <w:uiPriority w:val="99"/>
    <w:semiHidden/>
    <w:unhideWhenUsed/>
    <w:rsid w:val="00E958E0"/>
    <w:pPr>
      <w:pBdr>
        <w:top w:val="single" w:sz="2" w:space="10" w:color="50C8FF" w:themeColor="accent6"/>
        <w:left w:val="single" w:sz="2" w:space="10" w:color="50C8FF" w:themeColor="accent6"/>
        <w:bottom w:val="single" w:sz="2" w:space="10" w:color="50C8FF" w:themeColor="accent6"/>
        <w:right w:val="single" w:sz="2" w:space="10" w:color="50C8FF" w:themeColor="accent6"/>
      </w:pBdr>
      <w:ind w:left="1152" w:right="1152"/>
    </w:pPr>
    <w:rPr>
      <w:i/>
      <w:iCs/>
      <w:color w:val="116491" w:themeColor="accent5"/>
    </w:rPr>
  </w:style>
  <w:style w:type="paragraph" w:customStyle="1" w:styleId="Disclaimer">
    <w:name w:val="Disclaimer"/>
    <w:basedOn w:val="Normal"/>
    <w:uiPriority w:val="99"/>
    <w:rsid w:val="00B53313"/>
    <w:pPr>
      <w:widowControl w:val="0"/>
      <w:tabs>
        <w:tab w:val="left" w:pos="283"/>
        <w:tab w:val="left" w:pos="567"/>
        <w:tab w:val="left" w:pos="850"/>
        <w:tab w:val="left" w:pos="1134"/>
        <w:tab w:val="left" w:pos="1417"/>
        <w:tab w:val="left" w:pos="1701"/>
      </w:tabs>
      <w:autoSpaceDE w:val="0"/>
      <w:autoSpaceDN w:val="0"/>
      <w:adjustRightInd w:val="0"/>
      <w:textAlignment w:val="center"/>
    </w:pPr>
    <w:rPr>
      <w:rFonts w:cs="GillSans-Light"/>
      <w:color w:val="000000"/>
      <w:sz w:val="20"/>
      <w:szCs w:val="18"/>
      <w:lang w:val="en-GB"/>
    </w:rPr>
  </w:style>
  <w:style w:type="paragraph" w:styleId="BodyText2">
    <w:name w:val="Body Text 2"/>
    <w:basedOn w:val="Normal"/>
    <w:link w:val="BodyText2Char"/>
    <w:uiPriority w:val="99"/>
    <w:unhideWhenUsed/>
    <w:rsid w:val="00B53313"/>
    <w:rPr>
      <w:sz w:val="20"/>
    </w:rPr>
  </w:style>
  <w:style w:type="character" w:customStyle="1" w:styleId="BodyText2Char">
    <w:name w:val="Body Text 2 Char"/>
    <w:basedOn w:val="DefaultParagraphFont"/>
    <w:link w:val="BodyText2"/>
    <w:uiPriority w:val="99"/>
    <w:rsid w:val="00B53313"/>
    <w:rPr>
      <w:sz w:val="20"/>
    </w:rPr>
  </w:style>
  <w:style w:type="character" w:styleId="PageNumber">
    <w:name w:val="page number"/>
    <w:basedOn w:val="DefaultParagraphFont"/>
    <w:uiPriority w:val="99"/>
    <w:unhideWhenUsed/>
    <w:rsid w:val="00900AB7"/>
    <w:rPr>
      <w:rFonts w:asciiTheme="majorHAnsi" w:hAnsiTheme="majorHAnsi"/>
      <w:b w:val="0"/>
      <w:color w:val="FFFFFF" w:themeColor="background1"/>
      <w:sz w:val="32"/>
    </w:rPr>
  </w:style>
  <w:style w:type="paragraph" w:styleId="TOC1">
    <w:name w:val="toc 1"/>
    <w:basedOn w:val="Normal"/>
    <w:next w:val="Normal"/>
    <w:autoRedefine/>
    <w:uiPriority w:val="39"/>
    <w:unhideWhenUsed/>
    <w:rsid w:val="009B7393"/>
    <w:pPr>
      <w:tabs>
        <w:tab w:val="right" w:leader="dot" w:pos="10188"/>
      </w:tabs>
      <w:spacing w:after="0"/>
    </w:pPr>
    <w:rPr>
      <w:rFonts w:asciiTheme="majorHAnsi" w:hAnsiTheme="majorHAnsi"/>
      <w:sz w:val="40"/>
    </w:rPr>
  </w:style>
  <w:style w:type="paragraph" w:styleId="TOC2">
    <w:name w:val="toc 2"/>
    <w:basedOn w:val="Normal"/>
    <w:next w:val="Normal"/>
    <w:autoRedefine/>
    <w:uiPriority w:val="39"/>
    <w:unhideWhenUsed/>
    <w:rsid w:val="009B7393"/>
    <w:pPr>
      <w:spacing w:before="0" w:after="0"/>
      <w:ind w:left="240"/>
    </w:pPr>
    <w:rPr>
      <w:rFonts w:asciiTheme="majorHAnsi" w:hAnsiTheme="majorHAnsi"/>
      <w:sz w:val="32"/>
      <w:szCs w:val="22"/>
    </w:rPr>
  </w:style>
  <w:style w:type="paragraph" w:styleId="TOC3">
    <w:name w:val="toc 3"/>
    <w:basedOn w:val="Normal"/>
    <w:next w:val="Normal"/>
    <w:autoRedefine/>
    <w:uiPriority w:val="39"/>
    <w:unhideWhenUsed/>
    <w:rsid w:val="009B7393"/>
    <w:pPr>
      <w:spacing w:before="0" w:after="0"/>
      <w:ind w:left="480"/>
    </w:pPr>
    <w:rPr>
      <w:sz w:val="32"/>
      <w:szCs w:val="22"/>
    </w:rPr>
  </w:style>
  <w:style w:type="paragraph" w:styleId="TOC4">
    <w:name w:val="toc 4"/>
    <w:basedOn w:val="Normal"/>
    <w:next w:val="Normal"/>
    <w:autoRedefine/>
    <w:uiPriority w:val="39"/>
    <w:unhideWhenUsed/>
    <w:rsid w:val="009B7393"/>
    <w:pPr>
      <w:spacing w:before="0" w:after="0"/>
      <w:ind w:left="720"/>
    </w:pPr>
    <w:rPr>
      <w:sz w:val="32"/>
      <w:szCs w:val="20"/>
    </w:rPr>
  </w:style>
  <w:style w:type="paragraph" w:styleId="TOC5">
    <w:name w:val="toc 5"/>
    <w:basedOn w:val="Normal"/>
    <w:next w:val="Normal"/>
    <w:autoRedefine/>
    <w:uiPriority w:val="39"/>
    <w:unhideWhenUsed/>
    <w:rsid w:val="009B7393"/>
    <w:pPr>
      <w:spacing w:before="0" w:after="0"/>
      <w:ind w:left="960"/>
    </w:pPr>
    <w:rPr>
      <w:szCs w:val="20"/>
    </w:rPr>
  </w:style>
  <w:style w:type="character" w:styleId="Strong">
    <w:name w:val="Strong"/>
    <w:basedOn w:val="DefaultParagraphFont"/>
    <w:uiPriority w:val="22"/>
    <w:qFormat/>
    <w:rsid w:val="00900AB7"/>
    <w:rPr>
      <w:b/>
      <w:bCs/>
    </w:rPr>
  </w:style>
  <w:style w:type="paragraph" w:customStyle="1" w:styleId="ContactDetails">
    <w:name w:val="Contact Details"/>
    <w:basedOn w:val="Normal"/>
    <w:qFormat/>
    <w:rsid w:val="00900AB7"/>
    <w:rPr>
      <w:color w:val="FFFFFF" w:themeColor="background1"/>
      <w:lang w:val="en-GB"/>
    </w:rPr>
  </w:style>
  <w:style w:type="character" w:styleId="Hyperlink">
    <w:name w:val="Hyperlink"/>
    <w:basedOn w:val="DefaultParagraphFont"/>
    <w:uiPriority w:val="99"/>
    <w:unhideWhenUsed/>
    <w:rsid w:val="00900AB7"/>
    <w:rPr>
      <w:color w:val="4C4C4C" w:themeColor="hyperlink"/>
      <w:u w:val="single"/>
    </w:rPr>
  </w:style>
  <w:style w:type="character" w:customStyle="1" w:styleId="Heading7Char">
    <w:name w:val="Heading 7 Char"/>
    <w:basedOn w:val="DefaultParagraphFont"/>
    <w:link w:val="Heading7"/>
    <w:uiPriority w:val="9"/>
    <w:rsid w:val="001238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238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238D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167D4"/>
    <w:pPr>
      <w:numPr>
        <w:numId w:val="37"/>
      </w:numPr>
      <w:contextualSpacing/>
    </w:pPr>
    <w:rPr>
      <w:lang w:val="en-AU"/>
    </w:rPr>
  </w:style>
  <w:style w:type="character" w:styleId="Emphasis">
    <w:name w:val="Emphasis"/>
    <w:basedOn w:val="DefaultParagraphFont"/>
    <w:uiPriority w:val="20"/>
    <w:qFormat/>
    <w:rsid w:val="009F4969"/>
    <w:rPr>
      <w:i/>
      <w:iCs/>
    </w:rPr>
  </w:style>
  <w:style w:type="character" w:styleId="SubtleEmphasis">
    <w:name w:val="Subtle Emphasis"/>
    <w:basedOn w:val="DefaultParagraphFont"/>
    <w:uiPriority w:val="19"/>
    <w:qFormat/>
    <w:rsid w:val="009F4969"/>
    <w:rPr>
      <w:i/>
      <w:iCs/>
      <w:color w:val="808080" w:themeColor="text1" w:themeTint="7F"/>
    </w:rPr>
  </w:style>
  <w:style w:type="paragraph" w:styleId="Quote">
    <w:name w:val="Quote"/>
    <w:basedOn w:val="Normal"/>
    <w:next w:val="Normal"/>
    <w:link w:val="QuoteChar"/>
    <w:uiPriority w:val="29"/>
    <w:qFormat/>
    <w:rsid w:val="009F4969"/>
    <w:rPr>
      <w:i/>
      <w:iCs/>
      <w:color w:val="000000" w:themeColor="text1"/>
    </w:rPr>
  </w:style>
  <w:style w:type="character" w:customStyle="1" w:styleId="QuoteChar">
    <w:name w:val="Quote Char"/>
    <w:basedOn w:val="DefaultParagraphFont"/>
    <w:link w:val="Quote"/>
    <w:uiPriority w:val="29"/>
    <w:rsid w:val="009F4969"/>
    <w:rPr>
      <w:i/>
      <w:iCs/>
      <w:color w:val="000000" w:themeColor="text1"/>
    </w:rPr>
  </w:style>
  <w:style w:type="paragraph" w:styleId="TOC6">
    <w:name w:val="toc 6"/>
    <w:basedOn w:val="Normal"/>
    <w:next w:val="Normal"/>
    <w:autoRedefine/>
    <w:uiPriority w:val="39"/>
    <w:unhideWhenUsed/>
    <w:rsid w:val="009B7393"/>
    <w:pPr>
      <w:spacing w:before="0" w:after="0"/>
      <w:ind w:left="1200"/>
    </w:pPr>
    <w:rPr>
      <w:szCs w:val="20"/>
    </w:rPr>
  </w:style>
  <w:style w:type="paragraph" w:styleId="TOC7">
    <w:name w:val="toc 7"/>
    <w:basedOn w:val="Normal"/>
    <w:next w:val="Normal"/>
    <w:autoRedefine/>
    <w:uiPriority w:val="39"/>
    <w:unhideWhenUsed/>
    <w:rsid w:val="009B7393"/>
    <w:pPr>
      <w:spacing w:before="0" w:after="0"/>
      <w:ind w:left="1440"/>
    </w:pPr>
    <w:rPr>
      <w:szCs w:val="20"/>
    </w:rPr>
  </w:style>
  <w:style w:type="paragraph" w:styleId="TOC8">
    <w:name w:val="toc 8"/>
    <w:basedOn w:val="Normal"/>
    <w:next w:val="Normal"/>
    <w:autoRedefine/>
    <w:uiPriority w:val="39"/>
    <w:unhideWhenUsed/>
    <w:rsid w:val="009B7393"/>
    <w:pPr>
      <w:spacing w:before="0" w:after="0"/>
      <w:ind w:left="1680"/>
    </w:pPr>
    <w:rPr>
      <w:szCs w:val="20"/>
    </w:rPr>
  </w:style>
  <w:style w:type="paragraph" w:styleId="TOC9">
    <w:name w:val="toc 9"/>
    <w:basedOn w:val="Normal"/>
    <w:next w:val="Normal"/>
    <w:autoRedefine/>
    <w:uiPriority w:val="39"/>
    <w:unhideWhenUsed/>
    <w:rsid w:val="009B7393"/>
    <w:pPr>
      <w:spacing w:before="0" w:after="0"/>
      <w:ind w:left="1920"/>
    </w:pPr>
    <w:rPr>
      <w:szCs w:val="20"/>
    </w:rPr>
  </w:style>
  <w:style w:type="paragraph" w:styleId="NormalWeb">
    <w:name w:val="Normal (Web)"/>
    <w:basedOn w:val="Normal"/>
    <w:uiPriority w:val="99"/>
    <w:semiHidden/>
    <w:unhideWhenUsed/>
    <w:rsid w:val="00555DAD"/>
    <w:pPr>
      <w:spacing w:before="100" w:beforeAutospacing="1" w:after="100" w:afterAutospacing="1"/>
    </w:pPr>
    <w:rPr>
      <w:rFonts w:ascii="Times" w:hAnsi="Times" w:cs="Times New Roman"/>
      <w:sz w:val="20"/>
      <w:szCs w:val="20"/>
      <w:lang w:val="en-AU"/>
    </w:rPr>
  </w:style>
  <w:style w:type="paragraph" w:customStyle="1" w:styleId="IntroParagraph">
    <w:name w:val="Intro Paragraph"/>
    <w:basedOn w:val="Normal"/>
    <w:qFormat/>
    <w:rsid w:val="00555DAD"/>
    <w:rPr>
      <w:sz w:val="28"/>
      <w:szCs w:val="28"/>
      <w:lang w:val="en-AU"/>
    </w:rPr>
  </w:style>
  <w:style w:type="paragraph" w:customStyle="1" w:styleId="OutlineNumbered1">
    <w:name w:val="Outline Numbered 1"/>
    <w:basedOn w:val="Normal"/>
    <w:link w:val="OutlineNumbered1Char"/>
    <w:rsid w:val="00047434"/>
    <w:pPr>
      <w:numPr>
        <w:numId w:val="27"/>
      </w:numPr>
      <w:spacing w:before="0" w:after="200" w:line="276" w:lineRule="auto"/>
    </w:pPr>
    <w:rPr>
      <w:rFonts w:eastAsiaTheme="minorHAnsi"/>
      <w:sz w:val="22"/>
      <w:szCs w:val="22"/>
      <w:lang w:val="en-AU"/>
    </w:rPr>
  </w:style>
  <w:style w:type="character" w:customStyle="1" w:styleId="OutlineNumbered1Char">
    <w:name w:val="Outline Numbered 1 Char"/>
    <w:basedOn w:val="DefaultParagraphFont"/>
    <w:link w:val="OutlineNumbered1"/>
    <w:rsid w:val="00047434"/>
    <w:rPr>
      <w:rFonts w:eastAsiaTheme="minorHAnsi"/>
      <w:sz w:val="22"/>
      <w:szCs w:val="22"/>
      <w:lang w:val="en-AU"/>
    </w:rPr>
  </w:style>
  <w:style w:type="paragraph" w:customStyle="1" w:styleId="OutlineNumbered2">
    <w:name w:val="Outline Numbered 2"/>
    <w:basedOn w:val="Normal"/>
    <w:rsid w:val="00047434"/>
    <w:pPr>
      <w:numPr>
        <w:ilvl w:val="1"/>
        <w:numId w:val="27"/>
      </w:numPr>
      <w:spacing w:before="0" w:after="200" w:line="276" w:lineRule="auto"/>
    </w:pPr>
    <w:rPr>
      <w:rFonts w:eastAsiaTheme="minorHAnsi"/>
      <w:sz w:val="22"/>
      <w:szCs w:val="22"/>
      <w:lang w:val="en-AU"/>
    </w:rPr>
  </w:style>
  <w:style w:type="paragraph" w:customStyle="1" w:styleId="OutlineNumbered3">
    <w:name w:val="Outline Numbered 3"/>
    <w:basedOn w:val="Normal"/>
    <w:rsid w:val="00047434"/>
    <w:pPr>
      <w:numPr>
        <w:ilvl w:val="2"/>
        <w:numId w:val="27"/>
      </w:numPr>
      <w:spacing w:before="0" w:after="200" w:line="276" w:lineRule="auto"/>
    </w:pPr>
    <w:rPr>
      <w:rFonts w:eastAsiaTheme="minorHAnsi"/>
      <w:sz w:val="22"/>
      <w:szCs w:val="22"/>
      <w:lang w:val="en-AU"/>
    </w:rPr>
  </w:style>
  <w:style w:type="table" w:styleId="TableGrid">
    <w:name w:val="Table Grid"/>
    <w:basedOn w:val="TableNormal"/>
    <w:uiPriority w:val="59"/>
    <w:rsid w:val="00047434"/>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3FFC"/>
    <w:rPr>
      <w:sz w:val="16"/>
      <w:szCs w:val="16"/>
    </w:rPr>
  </w:style>
  <w:style w:type="paragraph" w:styleId="CommentText">
    <w:name w:val="annotation text"/>
    <w:basedOn w:val="Normal"/>
    <w:link w:val="CommentTextChar"/>
    <w:uiPriority w:val="99"/>
    <w:semiHidden/>
    <w:unhideWhenUsed/>
    <w:rsid w:val="005E3FFC"/>
    <w:rPr>
      <w:sz w:val="20"/>
      <w:szCs w:val="20"/>
    </w:rPr>
  </w:style>
  <w:style w:type="character" w:customStyle="1" w:styleId="CommentTextChar">
    <w:name w:val="Comment Text Char"/>
    <w:basedOn w:val="DefaultParagraphFont"/>
    <w:link w:val="CommentText"/>
    <w:uiPriority w:val="99"/>
    <w:semiHidden/>
    <w:rsid w:val="005E3FFC"/>
    <w:rPr>
      <w:sz w:val="20"/>
      <w:szCs w:val="20"/>
    </w:rPr>
  </w:style>
  <w:style w:type="paragraph" w:styleId="CommentSubject">
    <w:name w:val="annotation subject"/>
    <w:basedOn w:val="CommentText"/>
    <w:next w:val="CommentText"/>
    <w:link w:val="CommentSubjectChar"/>
    <w:uiPriority w:val="99"/>
    <w:semiHidden/>
    <w:unhideWhenUsed/>
    <w:rsid w:val="005E3FFC"/>
    <w:rPr>
      <w:b/>
      <w:bCs/>
    </w:rPr>
  </w:style>
  <w:style w:type="character" w:customStyle="1" w:styleId="CommentSubjectChar">
    <w:name w:val="Comment Subject Char"/>
    <w:basedOn w:val="CommentTextChar"/>
    <w:link w:val="CommentSubject"/>
    <w:uiPriority w:val="99"/>
    <w:semiHidden/>
    <w:rsid w:val="005E3F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9566">
      <w:bodyDiv w:val="1"/>
      <w:marLeft w:val="0"/>
      <w:marRight w:val="0"/>
      <w:marTop w:val="0"/>
      <w:marBottom w:val="0"/>
      <w:divBdr>
        <w:top w:val="none" w:sz="0" w:space="0" w:color="auto"/>
        <w:left w:val="none" w:sz="0" w:space="0" w:color="auto"/>
        <w:bottom w:val="none" w:sz="0" w:space="0" w:color="auto"/>
        <w:right w:val="none" w:sz="0" w:space="0" w:color="auto"/>
      </w:divBdr>
    </w:div>
    <w:div w:id="551112792">
      <w:bodyDiv w:val="1"/>
      <w:marLeft w:val="0"/>
      <w:marRight w:val="0"/>
      <w:marTop w:val="0"/>
      <w:marBottom w:val="0"/>
      <w:divBdr>
        <w:top w:val="none" w:sz="0" w:space="0" w:color="auto"/>
        <w:left w:val="none" w:sz="0" w:space="0" w:color="auto"/>
        <w:bottom w:val="none" w:sz="0" w:space="0" w:color="auto"/>
        <w:right w:val="none" w:sz="0" w:space="0" w:color="auto"/>
      </w:divBdr>
    </w:div>
    <w:div w:id="207404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cbos.info@justice.ta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cbos.info@justice.tas.gov.a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www.commerce.wa.gov.au/consumer-protection/uncollected-goods" TargetMode="External"/><Relationship Id="rId27"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5.jpg"/></Relationships>
</file>

<file path=word/_rels/footer7.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1" Type="http://schemas.openxmlformats.org/officeDocument/2006/relationships/image" Target="media/image7.jpg"/></Relationships>
</file>

<file path=word/_rels/header8.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asGov-Blue">
  <a:themeElements>
    <a:clrScheme name="TasGov2012 Blue">
      <a:dk1>
        <a:sysClr val="windowText" lastClr="000000"/>
      </a:dk1>
      <a:lt1>
        <a:sysClr val="window" lastClr="FFFFFF"/>
      </a:lt1>
      <a:dk2>
        <a:srgbClr val="451957"/>
      </a:dk2>
      <a:lt2>
        <a:srgbClr val="BF0054"/>
      </a:lt2>
      <a:accent1>
        <a:srgbClr val="9D1A19"/>
      </a:accent1>
      <a:accent2>
        <a:srgbClr val="D3741C"/>
      </a:accent2>
      <a:accent3>
        <a:srgbClr val="B7C741"/>
      </a:accent3>
      <a:accent4>
        <a:srgbClr val="5D7B31"/>
      </a:accent4>
      <a:accent5>
        <a:srgbClr val="116491"/>
      </a:accent5>
      <a:accent6>
        <a:srgbClr val="50C8FF"/>
      </a:accent6>
      <a:hlink>
        <a:srgbClr val="4C4C4C"/>
      </a:hlink>
      <a:folHlink>
        <a:srgbClr val="999999"/>
      </a:folHlink>
    </a:clrScheme>
    <a:fontScheme name="GillSans TasGov">
      <a:majorFont>
        <a:latin typeface="GillSans"/>
        <a:ea typeface=""/>
        <a:cs typeface=""/>
      </a:majorFont>
      <a:minorFont>
        <a:latin typeface="Gill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4AC59-7E3F-4C0A-B678-CFF72C8E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5541</Words>
  <Characters>31586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Digital Ink Tasmania</Company>
  <LinksUpToDate>false</LinksUpToDate>
  <CharactersWithSpaces>37053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Newton, Cameron</dc:creator>
  <cp:lastModifiedBy>Cameron, Natalie</cp:lastModifiedBy>
  <cp:revision>2</cp:revision>
  <cp:lastPrinted>2012-06-25T23:01:00Z</cp:lastPrinted>
  <dcterms:created xsi:type="dcterms:W3CDTF">2019-02-15T03:53:00Z</dcterms:created>
  <dcterms:modified xsi:type="dcterms:W3CDTF">2019-02-15T03:53:00Z</dcterms:modified>
</cp:coreProperties>
</file>