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A9" w:rsidRPr="009F602D" w:rsidRDefault="005D2AF5" w:rsidP="009F602D">
      <w:pPr>
        <w:pStyle w:val="Maincoverheader"/>
      </w:pPr>
      <w:bookmarkStart w:id="0" w:name="_GoBack"/>
      <w:bookmarkEnd w:id="0"/>
      <w:r>
        <w:t>LEGISLATION</w:t>
      </w:r>
      <w:r w:rsidR="003A71D6">
        <w:t xml:space="preserve"> FOR A TASMANIAN PLANNING SCHEME</w:t>
      </w:r>
    </w:p>
    <w:p w:rsidR="00242AFD" w:rsidRDefault="00242AFD" w:rsidP="00E35BCB"/>
    <w:p w:rsidR="008C6C5B" w:rsidRDefault="008C6C5B" w:rsidP="009F602D">
      <w:pPr>
        <w:spacing w:before="120" w:after="180"/>
        <w:jc w:val="both"/>
        <w:rPr>
          <w:rFonts w:ascii="Gill Sans MT" w:hAnsi="Gill Sans MT"/>
          <w:bCs/>
          <w:i/>
        </w:rPr>
        <w:sectPr w:rsidR="008C6C5B" w:rsidSect="007427BF">
          <w:headerReference w:type="even" r:id="rId8"/>
          <w:headerReference w:type="default" r:id="rId9"/>
          <w:footerReference w:type="even" r:id="rId10"/>
          <w:footerReference w:type="default" r:id="rId11"/>
          <w:headerReference w:type="first" r:id="rId12"/>
          <w:footerReference w:type="first" r:id="rId13"/>
          <w:pgSz w:w="11900" w:h="16840"/>
          <w:pgMar w:top="2835" w:right="1797" w:bottom="1440" w:left="1418" w:header="709" w:footer="484" w:gutter="0"/>
          <w:cols w:space="708"/>
        </w:sectPr>
      </w:pPr>
    </w:p>
    <w:p w:rsidR="003A71D6" w:rsidRDefault="003A71D6" w:rsidP="003A71D6">
      <w:pPr>
        <w:spacing w:before="120" w:after="180"/>
        <w:jc w:val="both"/>
        <w:rPr>
          <w:rFonts w:ascii="Gill Sans MT" w:hAnsi="Gill Sans MT"/>
          <w:bCs/>
          <w:i/>
        </w:rPr>
      </w:pPr>
      <w:r>
        <w:rPr>
          <w:rFonts w:ascii="Gill Sans MT" w:hAnsi="Gill Sans MT"/>
          <w:bCs/>
          <w:i/>
        </w:rPr>
        <w:lastRenderedPageBreak/>
        <w:t xml:space="preserve">The introduction of a statewide planning scheme is a key part of Government’s reforms for a </w:t>
      </w:r>
      <w:r w:rsidRPr="00A7675E">
        <w:rPr>
          <w:rFonts w:ascii="Gill Sans MT" w:hAnsi="Gill Sans MT"/>
          <w:bCs/>
          <w:i/>
        </w:rPr>
        <w:t>fairer, faster, cheaper and simpler</w:t>
      </w:r>
      <w:r>
        <w:rPr>
          <w:rFonts w:ascii="Gill Sans MT" w:hAnsi="Gill Sans MT"/>
          <w:bCs/>
          <w:i/>
        </w:rPr>
        <w:t xml:space="preserve"> planning system. </w:t>
      </w:r>
    </w:p>
    <w:p w:rsidR="006F4215" w:rsidRDefault="0057666D" w:rsidP="006F4215">
      <w:pPr>
        <w:spacing w:before="120" w:after="180"/>
        <w:jc w:val="both"/>
        <w:rPr>
          <w:rFonts w:ascii="Gill Sans MT" w:hAnsi="Gill Sans MT"/>
          <w:bCs/>
          <w:i/>
          <w:szCs w:val="24"/>
        </w:rPr>
      </w:pPr>
      <w:r>
        <w:rPr>
          <w:rFonts w:ascii="Gill Sans MT" w:hAnsi="Gill Sans MT"/>
          <w:bCs/>
          <w:i/>
        </w:rPr>
        <w:t xml:space="preserve">The Government intends to </w:t>
      </w:r>
      <w:r w:rsidR="006F4215" w:rsidRPr="00A7675E">
        <w:rPr>
          <w:rFonts w:ascii="Gill Sans MT" w:hAnsi="Gill Sans MT"/>
          <w:bCs/>
          <w:i/>
          <w:szCs w:val="24"/>
        </w:rPr>
        <w:t xml:space="preserve">introduce a Bill to Parliament </w:t>
      </w:r>
      <w:r w:rsidR="006927CC">
        <w:rPr>
          <w:rFonts w:ascii="Gill Sans MT" w:hAnsi="Gill Sans MT"/>
          <w:bCs/>
          <w:i/>
          <w:szCs w:val="24"/>
        </w:rPr>
        <w:t xml:space="preserve">in 2015 </w:t>
      </w:r>
      <w:r>
        <w:rPr>
          <w:rFonts w:ascii="Gill Sans MT" w:hAnsi="Gill Sans MT"/>
          <w:bCs/>
          <w:i/>
          <w:szCs w:val="24"/>
        </w:rPr>
        <w:t xml:space="preserve">to </w:t>
      </w:r>
      <w:r w:rsidR="00F81E13">
        <w:rPr>
          <w:rFonts w:ascii="Gill Sans MT" w:hAnsi="Gill Sans MT"/>
          <w:bCs/>
          <w:i/>
          <w:szCs w:val="24"/>
        </w:rPr>
        <w:t xml:space="preserve">amend the Land Use Planning and Approvals Act 1993 to </w:t>
      </w:r>
      <w:r>
        <w:rPr>
          <w:rFonts w:ascii="Gill Sans MT" w:hAnsi="Gill Sans MT"/>
          <w:bCs/>
          <w:i/>
          <w:szCs w:val="24"/>
        </w:rPr>
        <w:t xml:space="preserve">provide </w:t>
      </w:r>
      <w:r w:rsidR="003301BF">
        <w:rPr>
          <w:rFonts w:ascii="Gill Sans MT" w:hAnsi="Gill Sans MT"/>
          <w:bCs/>
          <w:i/>
          <w:szCs w:val="24"/>
        </w:rPr>
        <w:t>for</w:t>
      </w:r>
      <w:r w:rsidR="006927CC">
        <w:rPr>
          <w:rFonts w:ascii="Gill Sans MT" w:hAnsi="Gill Sans MT"/>
          <w:bCs/>
          <w:i/>
          <w:szCs w:val="24"/>
        </w:rPr>
        <w:t xml:space="preserve"> a Tasmanian Planning Scheme</w:t>
      </w:r>
      <w:r>
        <w:rPr>
          <w:rFonts w:ascii="Gill Sans MT" w:hAnsi="Gill Sans MT"/>
          <w:bCs/>
          <w:i/>
          <w:szCs w:val="24"/>
        </w:rPr>
        <w:t xml:space="preserve">, following </w:t>
      </w:r>
      <w:r w:rsidR="00F81E13">
        <w:rPr>
          <w:rFonts w:ascii="Gill Sans MT" w:hAnsi="Gill Sans MT"/>
          <w:bCs/>
          <w:i/>
          <w:szCs w:val="24"/>
        </w:rPr>
        <w:t xml:space="preserve">broad </w:t>
      </w:r>
      <w:r w:rsidR="003301BF">
        <w:rPr>
          <w:rFonts w:ascii="Gill Sans MT" w:hAnsi="Gill Sans MT"/>
          <w:bCs/>
          <w:i/>
          <w:szCs w:val="24"/>
        </w:rPr>
        <w:t xml:space="preserve">consultation on </w:t>
      </w:r>
      <w:r w:rsidR="00851DD2">
        <w:rPr>
          <w:rFonts w:ascii="Gill Sans MT" w:hAnsi="Gill Sans MT"/>
          <w:bCs/>
          <w:i/>
          <w:szCs w:val="24"/>
        </w:rPr>
        <w:t>a</w:t>
      </w:r>
      <w:r w:rsidR="003301BF">
        <w:rPr>
          <w:rFonts w:ascii="Gill Sans MT" w:hAnsi="Gill Sans MT"/>
          <w:bCs/>
          <w:i/>
          <w:szCs w:val="24"/>
        </w:rPr>
        <w:t xml:space="preserve"> draft Exposure Bill. </w:t>
      </w:r>
    </w:p>
    <w:p w:rsidR="005D2AF5" w:rsidRDefault="005D2AF5" w:rsidP="006F4215">
      <w:pPr>
        <w:spacing w:before="120" w:after="180"/>
        <w:jc w:val="both"/>
        <w:rPr>
          <w:rFonts w:ascii="Gill Sans MT" w:hAnsi="Gill Sans MT"/>
          <w:bCs/>
          <w:i/>
          <w:szCs w:val="24"/>
        </w:rPr>
      </w:pPr>
      <w:r>
        <w:rPr>
          <w:rFonts w:ascii="Gill Sans MT" w:hAnsi="Gill Sans MT"/>
          <w:bCs/>
          <w:i/>
          <w:szCs w:val="24"/>
        </w:rPr>
        <w:t xml:space="preserve">The draft Exposure Bill gives effect to a proposed structure for the Tasmanian Planning Scheme that is consistent with the recommendations of the Planning Reform Taskforce. </w:t>
      </w:r>
    </w:p>
    <w:p w:rsidR="005D2AF5" w:rsidRPr="00A7675E" w:rsidRDefault="00887C4C" w:rsidP="005D2AF5">
      <w:pPr>
        <w:pStyle w:val="Secondcoverheader"/>
        <w:rPr>
          <w:rFonts w:ascii="Gill Sans MT" w:hAnsi="Gill Sans MT"/>
        </w:rPr>
      </w:pPr>
      <w:r>
        <w:rPr>
          <w:rFonts w:ascii="Gill Sans MT" w:hAnsi="Gill Sans MT"/>
          <w:caps w:val="0"/>
        </w:rPr>
        <w:t>What is</w:t>
      </w:r>
      <w:r w:rsidR="005D2AF5">
        <w:rPr>
          <w:rFonts w:ascii="Gill Sans MT" w:hAnsi="Gill Sans MT"/>
          <w:caps w:val="0"/>
        </w:rPr>
        <w:t xml:space="preserve"> the Tasmanian Planning Scheme</w:t>
      </w:r>
      <w:r w:rsidR="005D2AF5" w:rsidRPr="00A7675E">
        <w:rPr>
          <w:rFonts w:ascii="Gill Sans MT" w:hAnsi="Gill Sans MT"/>
          <w:caps w:val="0"/>
        </w:rPr>
        <w:t>?</w:t>
      </w:r>
      <w:r w:rsidR="005D2AF5">
        <w:rPr>
          <w:rFonts w:ascii="Gill Sans MT" w:hAnsi="Gill Sans MT"/>
          <w:caps w:val="0"/>
        </w:rPr>
        <w:t xml:space="preserve"> </w:t>
      </w:r>
    </w:p>
    <w:p w:rsidR="005D2AF5" w:rsidRDefault="005D2AF5" w:rsidP="005D2AF5">
      <w:pPr>
        <w:spacing w:before="120" w:after="180"/>
        <w:jc w:val="both"/>
        <w:rPr>
          <w:rFonts w:ascii="Gill Sans MT" w:hAnsi="Gill Sans MT"/>
          <w:bCs/>
          <w:szCs w:val="24"/>
        </w:rPr>
      </w:pPr>
      <w:r w:rsidRPr="00541AB4">
        <w:rPr>
          <w:rFonts w:ascii="Gill Sans MT" w:hAnsi="Gill Sans MT"/>
          <w:szCs w:val="24"/>
        </w:rPr>
        <w:t xml:space="preserve">The </w:t>
      </w:r>
      <w:r w:rsidRPr="00541AB4">
        <w:rPr>
          <w:rFonts w:ascii="Gill Sans MT" w:hAnsi="Gill Sans MT"/>
          <w:bCs/>
          <w:szCs w:val="24"/>
        </w:rPr>
        <w:t>Bill</w:t>
      </w:r>
      <w:r w:rsidRPr="00CE6C01">
        <w:rPr>
          <w:rFonts w:ascii="Gill Sans MT" w:hAnsi="Gill Sans MT"/>
          <w:bCs/>
          <w:szCs w:val="24"/>
        </w:rPr>
        <w:t xml:space="preserve"> will </w:t>
      </w:r>
      <w:r>
        <w:rPr>
          <w:rFonts w:ascii="Gill Sans MT" w:hAnsi="Gill Sans MT"/>
          <w:bCs/>
          <w:szCs w:val="24"/>
        </w:rPr>
        <w:t xml:space="preserve">replace the current provisions for planning schemes and planning directives with provisions for a Tasmanian Planning Scheme. </w:t>
      </w:r>
    </w:p>
    <w:p w:rsidR="005D2AF5" w:rsidRDefault="005D2AF5" w:rsidP="005D2AF5">
      <w:pPr>
        <w:spacing w:before="120" w:after="180"/>
        <w:jc w:val="both"/>
        <w:rPr>
          <w:rFonts w:ascii="Gill Sans MT" w:hAnsi="Gill Sans MT"/>
          <w:bCs/>
          <w:szCs w:val="24"/>
        </w:rPr>
      </w:pPr>
      <w:r>
        <w:rPr>
          <w:rFonts w:ascii="Gill Sans MT" w:hAnsi="Gill Sans MT"/>
          <w:bCs/>
          <w:szCs w:val="24"/>
        </w:rPr>
        <w:t xml:space="preserve">The Scheme will consist of a single set of </w:t>
      </w:r>
      <w:r w:rsidRPr="00F61C1A">
        <w:rPr>
          <w:rFonts w:ascii="Gill Sans MT" w:hAnsi="Gill Sans MT"/>
          <w:bCs/>
          <w:szCs w:val="24"/>
        </w:rPr>
        <w:t>State</w:t>
      </w:r>
      <w:r w:rsidR="00D81B84">
        <w:rPr>
          <w:rFonts w:ascii="Gill Sans MT" w:hAnsi="Gill Sans MT"/>
          <w:bCs/>
          <w:szCs w:val="24"/>
        </w:rPr>
        <w:t>wide</w:t>
      </w:r>
      <w:r w:rsidRPr="00F61C1A">
        <w:rPr>
          <w:rFonts w:ascii="Gill Sans MT" w:hAnsi="Gill Sans MT"/>
          <w:bCs/>
          <w:szCs w:val="24"/>
        </w:rPr>
        <w:t xml:space="preserve"> Planning Provisions </w:t>
      </w:r>
      <w:r>
        <w:rPr>
          <w:rFonts w:ascii="Gill Sans MT" w:hAnsi="Gill Sans MT"/>
          <w:bCs/>
          <w:szCs w:val="24"/>
        </w:rPr>
        <w:t xml:space="preserve">and a Schedule of Local Planning Provisions for each council area. </w:t>
      </w:r>
    </w:p>
    <w:p w:rsidR="00887C4C" w:rsidRDefault="00887C4C" w:rsidP="00887C4C">
      <w:pPr>
        <w:spacing w:before="120" w:after="180"/>
        <w:jc w:val="both"/>
        <w:rPr>
          <w:rFonts w:ascii="Gill Sans MT" w:hAnsi="Gill Sans MT"/>
          <w:bCs/>
          <w:szCs w:val="24"/>
        </w:rPr>
      </w:pPr>
      <w:r>
        <w:rPr>
          <w:rFonts w:ascii="Gill Sans MT" w:hAnsi="Gill Sans MT"/>
          <w:bCs/>
          <w:szCs w:val="24"/>
        </w:rPr>
        <w:t xml:space="preserve">Local planning authorities will continue to implement all of the planning controls that apply in their local area. </w:t>
      </w:r>
    </w:p>
    <w:p w:rsidR="00887C4C" w:rsidRPr="00A7675E" w:rsidRDefault="00887C4C" w:rsidP="00887C4C">
      <w:pPr>
        <w:pStyle w:val="Secondcoverheader"/>
        <w:rPr>
          <w:rFonts w:ascii="Gill Sans MT" w:hAnsi="Gill Sans MT"/>
        </w:rPr>
      </w:pPr>
      <w:r>
        <w:rPr>
          <w:rFonts w:ascii="Gill Sans MT" w:hAnsi="Gill Sans MT"/>
          <w:caps w:val="0"/>
        </w:rPr>
        <w:lastRenderedPageBreak/>
        <w:t>How will the Tasmanian Planning Scheme be made</w:t>
      </w:r>
      <w:r w:rsidRPr="00A7675E">
        <w:rPr>
          <w:rFonts w:ascii="Gill Sans MT" w:hAnsi="Gill Sans MT"/>
          <w:caps w:val="0"/>
        </w:rPr>
        <w:t>?</w:t>
      </w:r>
      <w:r>
        <w:rPr>
          <w:rFonts w:ascii="Gill Sans MT" w:hAnsi="Gill Sans MT"/>
          <w:caps w:val="0"/>
        </w:rPr>
        <w:t xml:space="preserve"> </w:t>
      </w:r>
    </w:p>
    <w:p w:rsidR="005D2AF5" w:rsidRDefault="005D2AF5" w:rsidP="005D2AF5">
      <w:pPr>
        <w:spacing w:before="120" w:after="180"/>
        <w:jc w:val="both"/>
        <w:rPr>
          <w:rFonts w:ascii="Gill Sans MT" w:hAnsi="Gill Sans MT"/>
          <w:bCs/>
          <w:szCs w:val="24"/>
        </w:rPr>
      </w:pPr>
      <w:r>
        <w:rPr>
          <w:rFonts w:ascii="Gill Sans MT" w:hAnsi="Gill Sans MT"/>
          <w:bCs/>
          <w:szCs w:val="24"/>
        </w:rPr>
        <w:t>The Minister or the Tasmanian Planning Commission</w:t>
      </w:r>
      <w:r w:rsidR="007C0190">
        <w:rPr>
          <w:rFonts w:ascii="Gill Sans MT" w:hAnsi="Gill Sans MT"/>
          <w:bCs/>
          <w:szCs w:val="24"/>
        </w:rPr>
        <w:t xml:space="preserve"> at the direction of the Minister</w:t>
      </w:r>
      <w:r>
        <w:rPr>
          <w:rFonts w:ascii="Gill Sans MT" w:hAnsi="Gill Sans MT"/>
          <w:bCs/>
          <w:szCs w:val="24"/>
        </w:rPr>
        <w:t xml:space="preserve"> will prepare the</w:t>
      </w:r>
      <w:r w:rsidRPr="00F61C1A">
        <w:rPr>
          <w:rFonts w:ascii="Gill Sans MT" w:hAnsi="Gill Sans MT"/>
          <w:bCs/>
          <w:szCs w:val="24"/>
        </w:rPr>
        <w:t xml:space="preserve"> State Planning Provisions</w:t>
      </w:r>
      <w:r>
        <w:rPr>
          <w:rFonts w:ascii="Gill Sans MT" w:hAnsi="Gill Sans MT"/>
          <w:bCs/>
          <w:szCs w:val="24"/>
        </w:rPr>
        <w:t xml:space="preserve"> while planning authorities will prepare the Local Planning Schedules.  </w:t>
      </w:r>
    </w:p>
    <w:p w:rsidR="00887C4C" w:rsidRDefault="00887C4C" w:rsidP="005D2AF5">
      <w:pPr>
        <w:spacing w:before="120" w:after="180"/>
        <w:jc w:val="both"/>
        <w:rPr>
          <w:rFonts w:ascii="Gill Sans MT" w:hAnsi="Gill Sans MT"/>
          <w:bCs/>
          <w:szCs w:val="24"/>
        </w:rPr>
      </w:pPr>
      <w:r>
        <w:rPr>
          <w:rFonts w:ascii="Gill Sans MT" w:hAnsi="Gill Sans MT"/>
          <w:bCs/>
          <w:szCs w:val="24"/>
        </w:rPr>
        <w:t xml:space="preserve">The Commission will undertake the statutory public exhibition and assessment and provide advice to the Minister in relation to the draft State Planning Provisions. </w:t>
      </w:r>
    </w:p>
    <w:p w:rsidR="005D2AF5" w:rsidRDefault="005D2AF5" w:rsidP="005D2AF5">
      <w:pPr>
        <w:spacing w:before="120" w:after="180"/>
        <w:jc w:val="both"/>
        <w:rPr>
          <w:rFonts w:ascii="Gill Sans MT" w:hAnsi="Gill Sans MT"/>
          <w:bCs/>
          <w:szCs w:val="24"/>
        </w:rPr>
      </w:pPr>
      <w:r>
        <w:rPr>
          <w:rFonts w:ascii="Gill Sans MT" w:hAnsi="Gill Sans MT"/>
          <w:bCs/>
          <w:szCs w:val="24"/>
        </w:rPr>
        <w:t>Once the final State Planning Provisions</w:t>
      </w:r>
      <w:r w:rsidR="0020620C">
        <w:rPr>
          <w:rFonts w:ascii="Gill Sans MT" w:hAnsi="Gill Sans MT"/>
          <w:bCs/>
          <w:szCs w:val="24"/>
        </w:rPr>
        <w:t xml:space="preserve"> are made by the Minister</w:t>
      </w:r>
      <w:r>
        <w:rPr>
          <w:rFonts w:ascii="Gill Sans MT" w:hAnsi="Gill Sans MT"/>
          <w:bCs/>
          <w:szCs w:val="24"/>
        </w:rPr>
        <w:t xml:space="preserve">, planning authorities will prepare their Local Planning Schedules based on their existing interim schemes. </w:t>
      </w:r>
    </w:p>
    <w:p w:rsidR="005D2AF5" w:rsidRDefault="005D2AF5" w:rsidP="005D2AF5">
      <w:pPr>
        <w:spacing w:before="120" w:after="180"/>
        <w:jc w:val="both"/>
        <w:rPr>
          <w:rFonts w:ascii="Gill Sans MT" w:hAnsi="Gill Sans MT"/>
          <w:bCs/>
          <w:szCs w:val="24"/>
        </w:rPr>
      </w:pPr>
      <w:r>
        <w:rPr>
          <w:rFonts w:ascii="Gill Sans MT" w:hAnsi="Gill Sans MT"/>
          <w:bCs/>
          <w:szCs w:val="24"/>
        </w:rPr>
        <w:t xml:space="preserve">The Local Planning Schedules will </w:t>
      </w:r>
      <w:r w:rsidR="0020620C">
        <w:rPr>
          <w:rFonts w:ascii="Gill Sans MT" w:hAnsi="Gill Sans MT"/>
          <w:bCs/>
          <w:szCs w:val="24"/>
        </w:rPr>
        <w:t>undergo</w:t>
      </w:r>
      <w:r>
        <w:rPr>
          <w:rFonts w:ascii="Gill Sans MT" w:hAnsi="Gill Sans MT"/>
          <w:bCs/>
          <w:szCs w:val="24"/>
        </w:rPr>
        <w:t xml:space="preserve"> public exhibition and assessment by the Commission</w:t>
      </w:r>
      <w:r w:rsidR="00887C4C">
        <w:rPr>
          <w:rFonts w:ascii="Gill Sans MT" w:hAnsi="Gill Sans MT"/>
          <w:bCs/>
          <w:szCs w:val="24"/>
        </w:rPr>
        <w:t xml:space="preserve"> including hearings</w:t>
      </w:r>
      <w:r>
        <w:rPr>
          <w:rFonts w:ascii="Gill Sans MT" w:hAnsi="Gill Sans MT"/>
          <w:bCs/>
          <w:szCs w:val="24"/>
        </w:rPr>
        <w:t xml:space="preserve">. </w:t>
      </w:r>
    </w:p>
    <w:p w:rsidR="005D2AF5" w:rsidRDefault="005D2AF5" w:rsidP="005D2AF5">
      <w:pPr>
        <w:spacing w:before="120" w:after="180"/>
        <w:jc w:val="both"/>
        <w:rPr>
          <w:rFonts w:ascii="Gill Sans MT" w:hAnsi="Gill Sans MT"/>
          <w:bCs/>
          <w:szCs w:val="24"/>
        </w:rPr>
      </w:pPr>
      <w:r>
        <w:rPr>
          <w:rFonts w:ascii="Gill Sans MT" w:hAnsi="Gill Sans MT"/>
          <w:bCs/>
          <w:szCs w:val="24"/>
        </w:rPr>
        <w:t xml:space="preserve">The Tasmanian Planning Scheme will take effect in each local council area when that Local Planning Schedule is approved.  </w:t>
      </w:r>
    </w:p>
    <w:p w:rsidR="00EF0D20" w:rsidRDefault="00834D71" w:rsidP="00834D71">
      <w:pPr>
        <w:spacing w:before="120" w:after="180"/>
        <w:jc w:val="both"/>
        <w:rPr>
          <w:rFonts w:ascii="Gill Sans MT" w:hAnsi="Gill Sans MT"/>
          <w:bCs/>
          <w:szCs w:val="24"/>
        </w:rPr>
      </w:pPr>
      <w:r>
        <w:rPr>
          <w:rFonts w:ascii="Gill Sans MT" w:hAnsi="Gill Sans MT"/>
          <w:bCs/>
          <w:szCs w:val="24"/>
        </w:rPr>
        <w:t xml:space="preserve"> </w:t>
      </w:r>
    </w:p>
    <w:p w:rsidR="00834D71" w:rsidRDefault="00834D71" w:rsidP="00A7675E">
      <w:pPr>
        <w:spacing w:before="120" w:after="180"/>
        <w:jc w:val="both"/>
        <w:rPr>
          <w:rFonts w:ascii="Gill Sans MT" w:hAnsi="Gill Sans MT"/>
          <w:bCs/>
          <w:szCs w:val="24"/>
        </w:rPr>
        <w:sectPr w:rsidR="00834D71" w:rsidSect="00E61295">
          <w:type w:val="continuous"/>
          <w:pgSz w:w="11900" w:h="16840"/>
          <w:pgMar w:top="2835" w:right="985" w:bottom="1440" w:left="1134" w:header="709" w:footer="484" w:gutter="0"/>
          <w:cols w:num="2" w:space="708"/>
        </w:sectPr>
      </w:pPr>
    </w:p>
    <w:p w:rsidR="00573E86" w:rsidRDefault="00573E86" w:rsidP="00573E86">
      <w:pPr>
        <w:pStyle w:val="Secondcoverheader"/>
        <w:rPr>
          <w:rFonts w:ascii="Gill Sans MT" w:hAnsi="Gill Sans MT"/>
          <w:caps w:val="0"/>
        </w:rPr>
      </w:pPr>
      <w:r>
        <w:rPr>
          <w:rFonts w:ascii="Gill Sans MT" w:hAnsi="Gill Sans MT"/>
          <w:caps w:val="0"/>
        </w:rPr>
        <w:lastRenderedPageBreak/>
        <w:t>What will the State Planning Provisions include</w:t>
      </w:r>
      <w:r w:rsidRPr="00A7675E">
        <w:rPr>
          <w:rFonts w:ascii="Gill Sans MT" w:hAnsi="Gill Sans MT"/>
          <w:caps w:val="0"/>
        </w:rPr>
        <w:t>?</w:t>
      </w:r>
      <w:r>
        <w:rPr>
          <w:rFonts w:ascii="Gill Sans MT" w:hAnsi="Gill Sans MT"/>
          <w:caps w:val="0"/>
        </w:rPr>
        <w:t xml:space="preserve"> </w:t>
      </w:r>
    </w:p>
    <w:p w:rsidR="00573E86" w:rsidRDefault="00573E86" w:rsidP="00573E86">
      <w:pPr>
        <w:spacing w:before="120" w:after="180"/>
        <w:jc w:val="both"/>
        <w:rPr>
          <w:rFonts w:ascii="Gill Sans MT" w:hAnsi="Gill Sans MT"/>
          <w:bCs/>
          <w:szCs w:val="24"/>
        </w:rPr>
      </w:pPr>
      <w:r>
        <w:rPr>
          <w:rFonts w:ascii="Gill Sans MT" w:hAnsi="Gill Sans MT"/>
          <w:bCs/>
          <w:szCs w:val="24"/>
        </w:rPr>
        <w:t xml:space="preserve">The State Planning Provisions will include the use and development standards for each zone and a suite of statewide codes.  </w:t>
      </w:r>
    </w:p>
    <w:p w:rsidR="00573E86" w:rsidRPr="00834D71" w:rsidRDefault="00573E86" w:rsidP="00573E86">
      <w:pPr>
        <w:spacing w:before="120" w:after="180"/>
        <w:jc w:val="both"/>
        <w:rPr>
          <w:rFonts w:ascii="Gill Sans MT" w:hAnsi="Gill Sans MT"/>
          <w:bCs/>
          <w:szCs w:val="24"/>
        </w:rPr>
      </w:pPr>
      <w:r>
        <w:rPr>
          <w:rFonts w:ascii="Gill Sans MT" w:hAnsi="Gill Sans MT"/>
          <w:bCs/>
          <w:szCs w:val="24"/>
        </w:rPr>
        <w:t xml:space="preserve">They will also include the purpose and objectives of the Tasmanian Planning Scheme and administrative provisions, including a template for the Local Planning Schedules. </w:t>
      </w:r>
    </w:p>
    <w:p w:rsidR="00573E86" w:rsidRPr="00A7675E" w:rsidRDefault="00573E86" w:rsidP="00573E86">
      <w:pPr>
        <w:pStyle w:val="Secondcoverheader"/>
        <w:rPr>
          <w:rFonts w:ascii="Gill Sans MT" w:hAnsi="Gill Sans MT"/>
        </w:rPr>
      </w:pPr>
      <w:r>
        <w:rPr>
          <w:rFonts w:ascii="Gill Sans MT" w:hAnsi="Gill Sans MT"/>
          <w:caps w:val="0"/>
        </w:rPr>
        <w:t xml:space="preserve">What will the Local Provisions </w:t>
      </w:r>
      <w:r w:rsidR="00D81B84">
        <w:rPr>
          <w:rFonts w:ascii="Gill Sans MT" w:hAnsi="Gill Sans MT"/>
          <w:caps w:val="0"/>
        </w:rPr>
        <w:t xml:space="preserve">Schedules </w:t>
      </w:r>
      <w:r>
        <w:rPr>
          <w:rFonts w:ascii="Gill Sans MT" w:hAnsi="Gill Sans MT"/>
          <w:caps w:val="0"/>
        </w:rPr>
        <w:t>include</w:t>
      </w:r>
      <w:r w:rsidRPr="00A7675E">
        <w:rPr>
          <w:rFonts w:ascii="Gill Sans MT" w:hAnsi="Gill Sans MT"/>
          <w:caps w:val="0"/>
        </w:rPr>
        <w:t>?</w:t>
      </w:r>
      <w:r>
        <w:rPr>
          <w:rFonts w:ascii="Gill Sans MT" w:hAnsi="Gill Sans MT"/>
          <w:caps w:val="0"/>
        </w:rPr>
        <w:t xml:space="preserve"> </w:t>
      </w:r>
    </w:p>
    <w:p w:rsidR="00D81B84" w:rsidRDefault="00D81B84" w:rsidP="00573E86">
      <w:pPr>
        <w:spacing w:before="120" w:after="180"/>
        <w:jc w:val="both"/>
        <w:rPr>
          <w:rFonts w:ascii="Gill Sans MT" w:hAnsi="Gill Sans MT"/>
          <w:bCs/>
          <w:szCs w:val="24"/>
        </w:rPr>
      </w:pPr>
      <w:r>
        <w:rPr>
          <w:rFonts w:ascii="Gill Sans MT" w:hAnsi="Gill Sans MT"/>
          <w:bCs/>
          <w:szCs w:val="24"/>
        </w:rPr>
        <w:t xml:space="preserve">The </w:t>
      </w:r>
      <w:r w:rsidR="00573E86">
        <w:rPr>
          <w:rFonts w:ascii="Gill Sans MT" w:hAnsi="Gill Sans MT"/>
          <w:bCs/>
          <w:szCs w:val="24"/>
        </w:rPr>
        <w:t xml:space="preserve">Local Provisions </w:t>
      </w:r>
      <w:r>
        <w:rPr>
          <w:rFonts w:ascii="Gill Sans MT" w:hAnsi="Gill Sans MT"/>
          <w:bCs/>
          <w:szCs w:val="24"/>
        </w:rPr>
        <w:t xml:space="preserve">Schedules </w:t>
      </w:r>
      <w:r w:rsidR="00573E86">
        <w:rPr>
          <w:rFonts w:ascii="Gill Sans MT" w:hAnsi="Gill Sans MT"/>
          <w:bCs/>
          <w:szCs w:val="24"/>
        </w:rPr>
        <w:t>will include the zone and overlay maps that apply the State Planning Provision stand</w:t>
      </w:r>
      <w:r w:rsidR="00FB5FB0">
        <w:rPr>
          <w:rFonts w:ascii="Gill Sans MT" w:hAnsi="Gill Sans MT"/>
          <w:bCs/>
          <w:szCs w:val="24"/>
        </w:rPr>
        <w:t>ards spatially, and any approved</w:t>
      </w:r>
      <w:r w:rsidR="00573E86">
        <w:rPr>
          <w:rFonts w:ascii="Gill Sans MT" w:hAnsi="Gill Sans MT"/>
          <w:bCs/>
          <w:szCs w:val="24"/>
        </w:rPr>
        <w:t xml:space="preserve"> local variations. </w:t>
      </w:r>
    </w:p>
    <w:p w:rsidR="00573E86" w:rsidRDefault="00D81B84" w:rsidP="00573E86">
      <w:pPr>
        <w:spacing w:before="120" w:after="180"/>
        <w:jc w:val="both"/>
        <w:rPr>
          <w:rFonts w:ascii="Gill Sans MT" w:hAnsi="Gill Sans MT"/>
          <w:bCs/>
          <w:szCs w:val="24"/>
        </w:rPr>
      </w:pPr>
      <w:r>
        <w:rPr>
          <w:rFonts w:ascii="Gill Sans MT" w:hAnsi="Gill Sans MT"/>
          <w:bCs/>
          <w:szCs w:val="24"/>
        </w:rPr>
        <w:t xml:space="preserve">For example, an overlay for a statewide heritage code would show the land to which that code applies in a local area. </w:t>
      </w:r>
    </w:p>
    <w:p w:rsidR="00573E86" w:rsidRDefault="00573E86" w:rsidP="00573E86">
      <w:pPr>
        <w:spacing w:before="120" w:after="180"/>
        <w:jc w:val="both"/>
        <w:rPr>
          <w:rFonts w:ascii="Gill Sans MT" w:hAnsi="Gill Sans MT"/>
          <w:bCs/>
          <w:szCs w:val="24"/>
        </w:rPr>
      </w:pPr>
      <w:r w:rsidRPr="00C825A7">
        <w:rPr>
          <w:rFonts w:ascii="Gill Sans MT" w:hAnsi="Gill Sans MT"/>
          <w:bCs/>
          <w:szCs w:val="24"/>
        </w:rPr>
        <w:t>They will also include a local purpose and objectives and any particular purpose zones, specific area plans and additional local controls that may be required.</w:t>
      </w:r>
      <w:r>
        <w:rPr>
          <w:rFonts w:ascii="Gill Sans MT" w:hAnsi="Gill Sans MT"/>
          <w:bCs/>
          <w:szCs w:val="24"/>
        </w:rPr>
        <w:t xml:space="preserve"> </w:t>
      </w:r>
    </w:p>
    <w:p w:rsidR="00D81B84" w:rsidRDefault="00D81B84" w:rsidP="00573E86">
      <w:pPr>
        <w:spacing w:before="120" w:after="180"/>
        <w:jc w:val="both"/>
        <w:rPr>
          <w:rFonts w:ascii="Gill Sans MT" w:hAnsi="Gill Sans MT"/>
          <w:bCs/>
          <w:szCs w:val="24"/>
        </w:rPr>
      </w:pPr>
      <w:r>
        <w:rPr>
          <w:rFonts w:ascii="Gill Sans MT" w:hAnsi="Gill Sans MT"/>
          <w:bCs/>
          <w:szCs w:val="24"/>
        </w:rPr>
        <w:t xml:space="preserve">For example, a particular purpose zone could be used for a complex site where the standard statewide controls do not readily apply, such as a university or a hospital. </w:t>
      </w:r>
    </w:p>
    <w:p w:rsidR="00573E86" w:rsidRPr="00C825A7" w:rsidRDefault="00573E86" w:rsidP="00C825A7">
      <w:pPr>
        <w:pStyle w:val="Secondcoverheader"/>
        <w:rPr>
          <w:rFonts w:ascii="Gill Sans MT" w:hAnsi="Gill Sans MT"/>
          <w:caps w:val="0"/>
        </w:rPr>
      </w:pPr>
      <w:r w:rsidRPr="00C825A7">
        <w:rPr>
          <w:rFonts w:ascii="Gill Sans MT" w:hAnsi="Gill Sans MT"/>
          <w:caps w:val="0"/>
        </w:rPr>
        <w:lastRenderedPageBreak/>
        <w:t xml:space="preserve">How will the Tasmanian Planning Scheme be amended? </w:t>
      </w:r>
    </w:p>
    <w:p w:rsidR="00573E86" w:rsidRDefault="00573E86" w:rsidP="00573E86">
      <w:pPr>
        <w:spacing w:before="120" w:after="180"/>
        <w:jc w:val="both"/>
        <w:rPr>
          <w:rFonts w:ascii="Gill Sans MT" w:hAnsi="Gill Sans MT"/>
          <w:bCs/>
          <w:szCs w:val="24"/>
        </w:rPr>
      </w:pPr>
      <w:r w:rsidRPr="00C825A7">
        <w:rPr>
          <w:rFonts w:ascii="Gill Sans MT" w:hAnsi="Gill Sans MT"/>
          <w:bCs/>
          <w:szCs w:val="24"/>
        </w:rPr>
        <w:t xml:space="preserve">It is proposed </w:t>
      </w:r>
      <w:r w:rsidR="007C0190">
        <w:rPr>
          <w:rFonts w:ascii="Gill Sans MT" w:hAnsi="Gill Sans MT"/>
          <w:bCs/>
          <w:szCs w:val="24"/>
        </w:rPr>
        <w:t xml:space="preserve">that </w:t>
      </w:r>
      <w:r w:rsidRPr="00C825A7">
        <w:rPr>
          <w:rFonts w:ascii="Gill Sans MT" w:hAnsi="Gill Sans MT"/>
          <w:bCs/>
          <w:szCs w:val="24"/>
        </w:rPr>
        <w:t xml:space="preserve">the making and amending of State Planning Provisions will follow a </w:t>
      </w:r>
      <w:r w:rsidR="00D81E3C">
        <w:rPr>
          <w:rFonts w:ascii="Gill Sans MT" w:hAnsi="Gill Sans MT"/>
          <w:bCs/>
          <w:szCs w:val="24"/>
        </w:rPr>
        <w:t xml:space="preserve">broadly </w:t>
      </w:r>
      <w:r w:rsidRPr="00C825A7">
        <w:rPr>
          <w:rFonts w:ascii="Gill Sans MT" w:hAnsi="Gill Sans MT"/>
          <w:bCs/>
          <w:szCs w:val="24"/>
        </w:rPr>
        <w:t xml:space="preserve">similar process to </w:t>
      </w:r>
      <w:r w:rsidR="007C0190">
        <w:rPr>
          <w:rFonts w:ascii="Gill Sans MT" w:hAnsi="Gill Sans MT"/>
          <w:bCs/>
          <w:szCs w:val="24"/>
        </w:rPr>
        <w:t xml:space="preserve">the making and amending of </w:t>
      </w:r>
      <w:r w:rsidRPr="00C825A7">
        <w:rPr>
          <w:rFonts w:ascii="Gill Sans MT" w:hAnsi="Gill Sans MT"/>
          <w:bCs/>
          <w:szCs w:val="24"/>
        </w:rPr>
        <w:t xml:space="preserve">planning directives under the current Act, </w:t>
      </w:r>
      <w:r w:rsidR="007C0190">
        <w:rPr>
          <w:rFonts w:ascii="Gill Sans MT" w:hAnsi="Gill Sans MT"/>
          <w:bCs/>
          <w:szCs w:val="24"/>
        </w:rPr>
        <w:t>involving</w:t>
      </w:r>
      <w:r w:rsidR="007C0190" w:rsidRPr="00C825A7">
        <w:rPr>
          <w:rFonts w:ascii="Gill Sans MT" w:hAnsi="Gill Sans MT"/>
          <w:bCs/>
          <w:szCs w:val="24"/>
        </w:rPr>
        <w:t xml:space="preserve"> </w:t>
      </w:r>
      <w:r w:rsidRPr="00C825A7">
        <w:rPr>
          <w:rFonts w:ascii="Gill Sans MT" w:hAnsi="Gill Sans MT"/>
          <w:bCs/>
          <w:szCs w:val="24"/>
        </w:rPr>
        <w:t>public exhibition</w:t>
      </w:r>
      <w:r w:rsidR="00B94A87" w:rsidRPr="00C825A7">
        <w:rPr>
          <w:rFonts w:ascii="Gill Sans MT" w:hAnsi="Gill Sans MT"/>
          <w:bCs/>
          <w:szCs w:val="24"/>
        </w:rPr>
        <w:t>,</w:t>
      </w:r>
      <w:r w:rsidRPr="00C825A7">
        <w:rPr>
          <w:rFonts w:ascii="Gill Sans MT" w:hAnsi="Gill Sans MT"/>
          <w:bCs/>
          <w:szCs w:val="24"/>
        </w:rPr>
        <w:t xml:space="preserve"> </w:t>
      </w:r>
      <w:r w:rsidR="00B94A87" w:rsidRPr="00C825A7">
        <w:rPr>
          <w:rFonts w:ascii="Gill Sans MT" w:hAnsi="Gill Sans MT"/>
          <w:bCs/>
          <w:szCs w:val="24"/>
        </w:rPr>
        <w:t xml:space="preserve">representations and assessment </w:t>
      </w:r>
      <w:r w:rsidRPr="00C825A7">
        <w:rPr>
          <w:rFonts w:ascii="Gill Sans MT" w:hAnsi="Gill Sans MT"/>
          <w:bCs/>
          <w:szCs w:val="24"/>
        </w:rPr>
        <w:t>by the Commission</w:t>
      </w:r>
      <w:r w:rsidR="00D81E3C">
        <w:rPr>
          <w:rFonts w:ascii="Gill Sans MT" w:hAnsi="Gill Sans MT"/>
          <w:bCs/>
          <w:szCs w:val="24"/>
        </w:rPr>
        <w:t xml:space="preserve">, </w:t>
      </w:r>
      <w:r w:rsidR="007C0190">
        <w:rPr>
          <w:rFonts w:ascii="Gill Sans MT" w:hAnsi="Gill Sans MT"/>
          <w:bCs/>
          <w:szCs w:val="24"/>
        </w:rPr>
        <w:t xml:space="preserve">with </w:t>
      </w:r>
      <w:r w:rsidR="00D81E3C">
        <w:rPr>
          <w:rFonts w:ascii="Gill Sans MT" w:hAnsi="Gill Sans MT"/>
          <w:bCs/>
          <w:szCs w:val="24"/>
        </w:rPr>
        <w:t xml:space="preserve">the Minister responsible for making the final </w:t>
      </w:r>
      <w:r w:rsidR="007C0190">
        <w:rPr>
          <w:rFonts w:ascii="Gill Sans MT" w:hAnsi="Gill Sans MT"/>
          <w:bCs/>
          <w:szCs w:val="24"/>
        </w:rPr>
        <w:t>p</w:t>
      </w:r>
      <w:r w:rsidR="00D81E3C">
        <w:rPr>
          <w:rFonts w:ascii="Gill Sans MT" w:hAnsi="Gill Sans MT"/>
          <w:bCs/>
          <w:szCs w:val="24"/>
        </w:rPr>
        <w:t>rovisions</w:t>
      </w:r>
      <w:r w:rsidRPr="00C825A7">
        <w:rPr>
          <w:rFonts w:ascii="Gill Sans MT" w:hAnsi="Gill Sans MT"/>
          <w:bCs/>
          <w:szCs w:val="24"/>
        </w:rPr>
        <w:t>.</w:t>
      </w:r>
      <w:r>
        <w:rPr>
          <w:rFonts w:ascii="Gill Sans MT" w:hAnsi="Gill Sans MT"/>
          <w:bCs/>
          <w:szCs w:val="24"/>
        </w:rPr>
        <w:t xml:space="preserve"> </w:t>
      </w:r>
    </w:p>
    <w:p w:rsidR="00573E86" w:rsidRDefault="00573E86" w:rsidP="00573E86">
      <w:pPr>
        <w:spacing w:before="120" w:after="180"/>
        <w:jc w:val="both"/>
        <w:rPr>
          <w:rFonts w:ascii="Gill Sans MT" w:hAnsi="Gill Sans MT"/>
          <w:bCs/>
          <w:szCs w:val="24"/>
        </w:rPr>
      </w:pPr>
      <w:r>
        <w:rPr>
          <w:rFonts w:ascii="Gill Sans MT" w:hAnsi="Gill Sans MT"/>
          <w:bCs/>
          <w:szCs w:val="24"/>
        </w:rPr>
        <w:t>It is proposed the making and amending of Local Provisions</w:t>
      </w:r>
      <w:r w:rsidR="007C0190">
        <w:rPr>
          <w:rFonts w:ascii="Gill Sans MT" w:hAnsi="Gill Sans MT"/>
          <w:bCs/>
          <w:szCs w:val="24"/>
        </w:rPr>
        <w:t xml:space="preserve"> Schedules</w:t>
      </w:r>
      <w:r>
        <w:rPr>
          <w:rFonts w:ascii="Gill Sans MT" w:hAnsi="Gill Sans MT"/>
          <w:bCs/>
          <w:szCs w:val="24"/>
        </w:rPr>
        <w:t xml:space="preserve"> will follow a similar process to the current processes for planning schemes </w:t>
      </w:r>
      <w:r w:rsidR="00D81B84">
        <w:rPr>
          <w:rFonts w:ascii="Gill Sans MT" w:hAnsi="Gill Sans MT"/>
          <w:bCs/>
          <w:szCs w:val="24"/>
        </w:rPr>
        <w:t>under the Act</w:t>
      </w:r>
      <w:r>
        <w:rPr>
          <w:rFonts w:ascii="Gill Sans MT" w:hAnsi="Gill Sans MT"/>
          <w:bCs/>
          <w:szCs w:val="24"/>
        </w:rPr>
        <w:t xml:space="preserve">. </w:t>
      </w:r>
    </w:p>
    <w:p w:rsidR="00573E86" w:rsidRDefault="00573E86" w:rsidP="00573E86">
      <w:pPr>
        <w:spacing w:before="120" w:after="180"/>
        <w:jc w:val="both"/>
        <w:rPr>
          <w:rFonts w:ascii="Gill Sans MT" w:hAnsi="Gill Sans MT"/>
          <w:bCs/>
          <w:szCs w:val="24"/>
        </w:rPr>
      </w:pPr>
      <w:r>
        <w:rPr>
          <w:rFonts w:ascii="Gill Sans MT" w:hAnsi="Gill Sans MT"/>
          <w:bCs/>
          <w:szCs w:val="24"/>
        </w:rPr>
        <w:t xml:space="preserve">Planning authorities will continue to be able to initiate amendments to their Local Planning Provisions. It is proposed this will follow the current amendment processes under the Act, including the combined permit and amendment process. </w:t>
      </w:r>
    </w:p>
    <w:p w:rsidR="00573E86" w:rsidRDefault="00573E86" w:rsidP="00573E86">
      <w:pPr>
        <w:spacing w:before="120" w:after="180"/>
        <w:jc w:val="both"/>
        <w:rPr>
          <w:rFonts w:ascii="Gill Sans MT" w:hAnsi="Gill Sans MT"/>
          <w:bCs/>
          <w:szCs w:val="24"/>
        </w:rPr>
      </w:pPr>
      <w:r>
        <w:rPr>
          <w:rFonts w:ascii="Gill Sans MT" w:hAnsi="Gill Sans MT"/>
          <w:bCs/>
          <w:szCs w:val="24"/>
        </w:rPr>
        <w:t xml:space="preserve">The power to make amendments to both State and Local Planning Provisions for urgent and minor matters will continue, based on the current provisions. </w:t>
      </w:r>
    </w:p>
    <w:p w:rsidR="005960B6" w:rsidRDefault="005960B6" w:rsidP="005960B6">
      <w:pPr>
        <w:pStyle w:val="Secondcoverheader"/>
        <w:rPr>
          <w:rFonts w:ascii="Gill Sans MT" w:hAnsi="Gill Sans MT"/>
          <w:caps w:val="0"/>
        </w:rPr>
      </w:pPr>
      <w:r>
        <w:rPr>
          <w:rFonts w:ascii="Gill Sans MT" w:hAnsi="Gill Sans MT"/>
          <w:caps w:val="0"/>
        </w:rPr>
        <w:t>How will the Tasmanian Planning Scheme be reviewed</w:t>
      </w:r>
      <w:r w:rsidRPr="00A7675E">
        <w:rPr>
          <w:rFonts w:ascii="Gill Sans MT" w:hAnsi="Gill Sans MT"/>
          <w:caps w:val="0"/>
        </w:rPr>
        <w:t>?</w:t>
      </w:r>
      <w:r>
        <w:rPr>
          <w:rFonts w:ascii="Gill Sans MT" w:hAnsi="Gill Sans MT"/>
          <w:caps w:val="0"/>
        </w:rPr>
        <w:t xml:space="preserve"> </w:t>
      </w:r>
    </w:p>
    <w:p w:rsidR="00E35BCB" w:rsidRDefault="005960B6" w:rsidP="005960B6">
      <w:pPr>
        <w:spacing w:before="120" w:after="180"/>
        <w:jc w:val="both"/>
        <w:rPr>
          <w:rFonts w:ascii="Gill Sans MT" w:hAnsi="Gill Sans MT"/>
          <w:bCs/>
          <w:szCs w:val="24"/>
        </w:rPr>
      </w:pPr>
      <w:r>
        <w:rPr>
          <w:rFonts w:ascii="Gill Sans MT" w:hAnsi="Gill Sans MT"/>
          <w:bCs/>
          <w:szCs w:val="24"/>
        </w:rPr>
        <w:t xml:space="preserve">It is proposed that the Minister will be required to keep the State Planning Provisions under regular review and will </w:t>
      </w:r>
      <w:r>
        <w:rPr>
          <w:rFonts w:ascii="Gill Sans MT" w:hAnsi="Gill Sans MT"/>
          <w:bCs/>
          <w:szCs w:val="24"/>
        </w:rPr>
        <w:lastRenderedPageBreak/>
        <w:t>also be able to direct planning authorities to review their Local Planning Schedules.</w:t>
      </w:r>
      <w:r w:rsidR="007C0190">
        <w:rPr>
          <w:rFonts w:ascii="Gill Sans MT" w:hAnsi="Gill Sans MT"/>
          <w:bCs/>
          <w:szCs w:val="24"/>
        </w:rPr>
        <w:t xml:space="preserve"> </w:t>
      </w:r>
    </w:p>
    <w:p w:rsidR="007C0190" w:rsidRPr="009778E5" w:rsidRDefault="007C0190" w:rsidP="005960B6">
      <w:pPr>
        <w:spacing w:before="120" w:after="180"/>
        <w:jc w:val="both"/>
        <w:rPr>
          <w:rFonts w:ascii="Gill Sans MT" w:hAnsi="Gill Sans MT"/>
          <w:bCs/>
          <w:szCs w:val="24"/>
        </w:rPr>
      </w:pPr>
      <w:r>
        <w:rPr>
          <w:rFonts w:ascii="Gill Sans MT" w:hAnsi="Gill Sans MT"/>
          <w:bCs/>
          <w:szCs w:val="24"/>
        </w:rPr>
        <w:t xml:space="preserve">Planning authorities will also be required to keep their Local Provisions Schedules under regular review in accordance with the process set out in the draft Bill. </w:t>
      </w:r>
    </w:p>
    <w:sectPr w:rsidR="007C0190" w:rsidRPr="009778E5" w:rsidSect="00A10E36">
      <w:headerReference w:type="even" r:id="rId14"/>
      <w:headerReference w:type="default" r:id="rId15"/>
      <w:footerReference w:type="default" r:id="rId16"/>
      <w:headerReference w:type="first" r:id="rId17"/>
      <w:pgSz w:w="11900" w:h="16840"/>
      <w:pgMar w:top="2379" w:right="1268" w:bottom="1440" w:left="1276" w:header="709" w:footer="2122"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14" w:rsidRDefault="00A45E14">
      <w:pPr>
        <w:spacing w:before="0" w:after="0" w:line="240" w:lineRule="auto"/>
      </w:pPr>
      <w:r>
        <w:separator/>
      </w:r>
    </w:p>
  </w:endnote>
  <w:endnote w:type="continuationSeparator" w:id="0">
    <w:p w:rsidR="00A45E14" w:rsidRDefault="00A45E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Arial"/>
    <w:panose1 w:val="020B0302020104020203"/>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w:altName w:val="Gill Sans MT"/>
    <w:panose1 w:val="020B0502020104020203"/>
    <w:charset w:val="00"/>
    <w:family w:val="auto"/>
    <w:pitch w:val="variable"/>
    <w:sig w:usb0="00000003" w:usb1="00000000" w:usb2="00000000" w:usb3="00000000" w:csb0="00000001"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7C" w:rsidRDefault="00557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BF" w:rsidRDefault="00381AC8" w:rsidP="007427BF">
    <w:pPr>
      <w:pStyle w:val="Footer"/>
      <w:ind w:left="-567"/>
    </w:pPr>
    <w:r>
      <w:rPr>
        <w:noProof/>
        <w:lang w:eastAsia="en-AU"/>
      </w:rPr>
      <w:drawing>
        <wp:anchor distT="0" distB="0" distL="114300" distR="114300" simplePos="0" relativeHeight="251655168" behindDoc="0" locked="0" layoutInCell="1" allowOverlap="1" wp14:anchorId="4CCE3E47" wp14:editId="1F3810F9">
          <wp:simplePos x="0" y="0"/>
          <wp:positionH relativeFrom="column">
            <wp:posOffset>-798830</wp:posOffset>
          </wp:positionH>
          <wp:positionV relativeFrom="page">
            <wp:posOffset>9454515</wp:posOffset>
          </wp:positionV>
          <wp:extent cx="7366000" cy="393700"/>
          <wp:effectExtent l="0" t="0" r="0" b="0"/>
          <wp:wrapNone/>
          <wp:docPr id="5" name="Picture 2" descr="Base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p>
  <w:p w:rsidR="007427BF" w:rsidRDefault="00381AC8" w:rsidP="007427BF">
    <w:pPr>
      <w:pStyle w:val="Footer"/>
      <w:ind w:left="-567"/>
    </w:pPr>
    <w:r>
      <w:rPr>
        <w:noProof/>
        <w:lang w:eastAsia="en-AU"/>
      </w:rPr>
      <w:drawing>
        <wp:anchor distT="0" distB="0" distL="114300" distR="114300" simplePos="0" relativeHeight="251663360" behindDoc="0" locked="0" layoutInCell="1" allowOverlap="1" wp14:anchorId="44EFD881" wp14:editId="4051A19C">
          <wp:simplePos x="0" y="0"/>
          <wp:positionH relativeFrom="column">
            <wp:posOffset>4890770</wp:posOffset>
          </wp:positionH>
          <wp:positionV relativeFrom="paragraph">
            <wp:posOffset>320040</wp:posOffset>
          </wp:positionV>
          <wp:extent cx="1323975" cy="476250"/>
          <wp:effectExtent l="0" t="0" r="0" b="0"/>
          <wp:wrapNone/>
          <wp:docPr id="9" name="Picture 9"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ed.showell\Desktop\Files - Tasmanian Government version\JPG\100079 Tas Gov_no tag_rgb_h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CB" w:rsidRDefault="00E35BCB" w:rsidP="007427BF">
    <w:pPr>
      <w:pStyle w:val="Footer"/>
      <w:ind w:left="-567"/>
    </w:pPr>
  </w:p>
  <w:p w:rsidR="007427BF" w:rsidRDefault="007427BF" w:rsidP="007427BF">
    <w:pPr>
      <w:pStyle w:val="Footertext"/>
      <w:ind w:left="-567"/>
    </w:pPr>
    <w:r>
      <w:t xml:space="preserve">Department of </w:t>
    </w:r>
    <w:r w:rsidR="008C2D54">
      <w:t>Justice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7C" w:rsidRDefault="005574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36" w:rsidRPr="00B24F97" w:rsidRDefault="00A10E36" w:rsidP="00A10E36">
    <w:pPr>
      <w:spacing w:after="40"/>
      <w:rPr>
        <w:rFonts w:ascii="Gill Sans MT" w:hAnsi="Gill Sans MT"/>
        <w:b/>
        <w:sz w:val="20"/>
        <w:szCs w:val="20"/>
      </w:rPr>
    </w:pPr>
    <w:r w:rsidRPr="00B24F97">
      <w:rPr>
        <w:rFonts w:ascii="Gill Sans MT" w:hAnsi="Gill Sans MT"/>
        <w:b/>
        <w:sz w:val="20"/>
        <w:szCs w:val="20"/>
      </w:rPr>
      <w:t>Fact Sheets Available</w:t>
    </w:r>
  </w:p>
  <w:p w:rsidR="00A10E36" w:rsidRDefault="0055747C" w:rsidP="00A10E36">
    <w:pPr>
      <w:numPr>
        <w:ilvl w:val="0"/>
        <w:numId w:val="27"/>
      </w:numPr>
      <w:spacing w:before="0" w:after="40"/>
      <w:ind w:left="284" w:hanging="284"/>
      <w:rPr>
        <w:rFonts w:ascii="Gill Sans MT" w:hAnsi="Gill Sans MT"/>
        <w:sz w:val="20"/>
        <w:szCs w:val="20"/>
      </w:rPr>
    </w:pPr>
    <w:r>
      <w:rPr>
        <w:rFonts w:ascii="Gill Sans MT" w:hAnsi="Gill Sans MT"/>
        <w:sz w:val="20"/>
        <w:szCs w:val="20"/>
      </w:rPr>
      <w:t>Planning Reform: an overview</w:t>
    </w:r>
    <w:r w:rsidR="00A10E36">
      <w:rPr>
        <w:rFonts w:ascii="Gill Sans MT" w:hAnsi="Gill Sans MT"/>
        <w:sz w:val="20"/>
        <w:szCs w:val="20"/>
      </w:rPr>
      <w:t>, 2. A Tasmanian Planning Scheme, 3</w:t>
    </w:r>
    <w:r w:rsidR="00A10E36" w:rsidRPr="00B24F97">
      <w:rPr>
        <w:rFonts w:ascii="Gill Sans MT" w:hAnsi="Gill Sans MT"/>
        <w:sz w:val="20"/>
        <w:szCs w:val="20"/>
      </w:rPr>
      <w:t xml:space="preserve">. </w:t>
    </w:r>
    <w:r w:rsidR="00A10E36">
      <w:rPr>
        <w:rFonts w:ascii="Gill Sans MT" w:hAnsi="Gill Sans MT"/>
        <w:sz w:val="20"/>
        <w:szCs w:val="20"/>
      </w:rPr>
      <w:t>Legislation for a Tasmanian Planning Scheme</w:t>
    </w:r>
    <w:r w:rsidR="00A10E36" w:rsidRPr="00B24F97">
      <w:rPr>
        <w:rFonts w:ascii="Gill Sans MT" w:hAnsi="Gill Sans MT"/>
        <w:sz w:val="20"/>
        <w:szCs w:val="20"/>
      </w:rPr>
      <w:t xml:space="preserve"> </w:t>
    </w:r>
  </w:p>
  <w:p w:rsidR="00E35BCB" w:rsidRPr="00A10E36" w:rsidRDefault="00E35BCB" w:rsidP="00A10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14" w:rsidRDefault="00A45E14">
      <w:pPr>
        <w:spacing w:before="0" w:after="0" w:line="240" w:lineRule="auto"/>
      </w:pPr>
      <w:r>
        <w:separator/>
      </w:r>
    </w:p>
  </w:footnote>
  <w:footnote w:type="continuationSeparator" w:id="0">
    <w:p w:rsidR="00A45E14" w:rsidRDefault="00A45E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6" w:rsidRDefault="00174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2D" w:rsidRPr="0098598C" w:rsidRDefault="009F602D" w:rsidP="009F602D">
    <w:pPr>
      <w:tabs>
        <w:tab w:val="left" w:pos="5103"/>
        <w:tab w:val="right" w:pos="8685"/>
      </w:tabs>
      <w:rPr>
        <w:rFonts w:ascii="Gill Sans MT" w:hAnsi="Gill Sans MT"/>
        <w:b/>
      </w:rPr>
    </w:pPr>
    <w:r>
      <w:rPr>
        <w:rFonts w:ascii="Gill Sans MT" w:hAnsi="Gill Sans MT"/>
        <w:b/>
      </w:rPr>
      <w:tab/>
    </w:r>
    <w:r w:rsidR="00A10E36">
      <w:rPr>
        <w:rFonts w:ascii="Gill Sans MT" w:hAnsi="Gill Sans MT"/>
        <w:b/>
      </w:rPr>
      <w:t xml:space="preserve">PLANNING REFORMS   </w:t>
    </w:r>
    <w:r w:rsidR="00A10E36">
      <w:rPr>
        <w:rFonts w:ascii="Gill Sans MT" w:hAnsi="Gill Sans MT"/>
        <w:b/>
      </w:rPr>
      <w:tab/>
      <w:t>FACT SHEET 3</w:t>
    </w:r>
  </w:p>
  <w:p w:rsidR="009F602D" w:rsidRPr="0098598C" w:rsidRDefault="00CB796C" w:rsidP="009F602D">
    <w:pPr>
      <w:rPr>
        <w:rFonts w:ascii="Gill Sans MT" w:hAnsi="Gill Sans MT"/>
        <w:b/>
        <w:i/>
      </w:rPr>
    </w:pPr>
    <w:r>
      <w:rPr>
        <w:rFonts w:ascii="Gill Sans MT" w:hAnsi="Gill Sans MT"/>
        <w:b/>
        <w:i/>
      </w:rPr>
      <w:t xml:space="preserve">Draft Exposure </w:t>
    </w:r>
    <w:r w:rsidR="009F602D" w:rsidRPr="0098598C">
      <w:rPr>
        <w:rFonts w:ascii="Gill Sans MT" w:hAnsi="Gill Sans MT"/>
        <w:b/>
        <w:i/>
      </w:rPr>
      <w:t xml:space="preserve">Land Use Planning and Approvals </w:t>
    </w:r>
    <w:r>
      <w:rPr>
        <w:rFonts w:ascii="Gill Sans MT" w:hAnsi="Gill Sans MT"/>
        <w:b/>
        <w:i/>
      </w:rPr>
      <w:t>(Tasmanian Planning Scheme) Amendment Bill 2015</w:t>
    </w:r>
  </w:p>
  <w:p w:rsidR="00E35BCB" w:rsidRDefault="00381AC8" w:rsidP="00E35BCB">
    <w:pPr>
      <w:pStyle w:val="Header"/>
    </w:pPr>
    <w:r>
      <w:rPr>
        <w:lang w:val="en-AU" w:eastAsia="en-AU"/>
      </w:rPr>
      <w:drawing>
        <wp:anchor distT="0" distB="0" distL="114300" distR="114300" simplePos="0" relativeHeight="251656192" behindDoc="1" locked="0" layoutInCell="1" allowOverlap="1" wp14:anchorId="7EF75215" wp14:editId="7114FA2B">
          <wp:simplePos x="0" y="0"/>
          <wp:positionH relativeFrom="column">
            <wp:posOffset>-1341120</wp:posOffset>
          </wp:positionH>
          <wp:positionV relativeFrom="page">
            <wp:posOffset>266065</wp:posOffset>
          </wp:positionV>
          <wp:extent cx="8230870" cy="1195070"/>
          <wp:effectExtent l="0" t="0" r="0" b="0"/>
          <wp:wrapNone/>
          <wp:docPr id="6" name="Picture 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6" w:rsidRDefault="001743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6" w:rsidRDefault="001743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CB" w:rsidRPr="008C2D54" w:rsidRDefault="00381AC8" w:rsidP="00E35BCB">
    <w:pPr>
      <w:pStyle w:val="Header"/>
      <w:rPr>
        <w:sz w:val="22"/>
      </w:rPr>
    </w:pPr>
    <w:r w:rsidRPr="008C2D54">
      <w:rPr>
        <w:sz w:val="22"/>
        <w:lang w:val="en-AU" w:eastAsia="en-AU"/>
      </w:rPr>
      <mc:AlternateContent>
        <mc:Choice Requires="wps">
          <w:drawing>
            <wp:anchor distT="0" distB="0" distL="114300" distR="114300" simplePos="0" relativeHeight="251660288" behindDoc="1" locked="0" layoutInCell="1" allowOverlap="1" wp14:anchorId="35FCC9E4" wp14:editId="3DDA10C9">
              <wp:simplePos x="0" y="0"/>
              <wp:positionH relativeFrom="column">
                <wp:posOffset>-1332230</wp:posOffset>
              </wp:positionH>
              <wp:positionV relativeFrom="page">
                <wp:posOffset>252730</wp:posOffset>
              </wp:positionV>
              <wp:extent cx="1106170" cy="1106170"/>
              <wp:effectExtent l="10795" t="14605" r="1651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noFill/>
                      <a:ln w="19050">
                        <a:solidFill>
                          <a:srgbClr val="5C7F92">
                            <a:alpha val="50000"/>
                          </a:srgb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04.9pt;margin-top:19.9pt;width:87.1pt;height:8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" filled="f" fillcolor="#9bc1ff" strokecolor="#5c7f92" strokeweight="1.5pt">
              <v:fill color2="#3f80cd" focus="100%" type="gradient">
                <o:fill v:ext="view" type="gradientUnscaled"/>
              </v:fill>
              <v:stroke opacity="32896f"/>
              <v:shadow opacity="22938f" offset="0"/>
              <v:textbox inset=",7.2pt,,7.2pt"/>
              <w10:wrap anchory="page"/>
            </v:oval>
          </w:pict>
        </mc:Fallback>
      </mc:AlternateContent>
    </w:r>
    <w:r w:rsidR="006927CC">
      <w:rPr>
        <w:sz w:val="22"/>
      </w:rPr>
      <w:t xml:space="preserve">draft exposure </w:t>
    </w:r>
    <w:r w:rsidR="008C2D54" w:rsidRPr="008C2D54">
      <w:rPr>
        <w:sz w:val="22"/>
      </w:rPr>
      <w:t xml:space="preserve"> LAND USE PLANNING AND APPROVALS </w:t>
    </w:r>
    <w:r w:rsidR="006927CC">
      <w:rPr>
        <w:sz w:val="22"/>
      </w:rPr>
      <w:t>(tasmanian planning scheme) AMENDMENT BILL 2015</w:t>
    </w:r>
    <w:r w:rsidR="00E35BCB" w:rsidRPr="008C2D54">
      <w:rPr>
        <w:sz w:val="22"/>
      </w:rPr>
      <w:br/>
    </w:r>
  </w:p>
  <w:p w:rsidR="00E35BCB" w:rsidRPr="00D3760D" w:rsidRDefault="00E35BCB" w:rsidP="00E35B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6" w:rsidRDefault="00174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2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70D6FE"/>
    <w:lvl w:ilvl="0">
      <w:start w:val="1"/>
      <w:numFmt w:val="decimal"/>
      <w:lvlText w:val="%1."/>
      <w:lvlJc w:val="left"/>
      <w:pPr>
        <w:tabs>
          <w:tab w:val="num" w:pos="1492"/>
        </w:tabs>
        <w:ind w:left="1492" w:hanging="360"/>
      </w:pPr>
    </w:lvl>
  </w:abstractNum>
  <w:abstractNum w:abstractNumId="2">
    <w:nsid w:val="FFFFFF7D"/>
    <w:multiLevelType w:val="singleLevel"/>
    <w:tmpl w:val="90023FFA"/>
    <w:lvl w:ilvl="0">
      <w:start w:val="1"/>
      <w:numFmt w:val="decimal"/>
      <w:lvlText w:val="%1."/>
      <w:lvlJc w:val="left"/>
      <w:pPr>
        <w:tabs>
          <w:tab w:val="num" w:pos="1209"/>
        </w:tabs>
        <w:ind w:left="1209" w:hanging="360"/>
      </w:pPr>
    </w:lvl>
  </w:abstractNum>
  <w:abstractNum w:abstractNumId="3">
    <w:nsid w:val="FFFFFF7E"/>
    <w:multiLevelType w:val="singleLevel"/>
    <w:tmpl w:val="D8BE9D28"/>
    <w:lvl w:ilvl="0">
      <w:start w:val="1"/>
      <w:numFmt w:val="decimal"/>
      <w:lvlText w:val="%1."/>
      <w:lvlJc w:val="left"/>
      <w:pPr>
        <w:tabs>
          <w:tab w:val="num" w:pos="926"/>
        </w:tabs>
        <w:ind w:left="926" w:hanging="360"/>
      </w:pPr>
    </w:lvl>
  </w:abstractNum>
  <w:abstractNum w:abstractNumId="4">
    <w:nsid w:val="FFFFFF7F"/>
    <w:multiLevelType w:val="singleLevel"/>
    <w:tmpl w:val="C5A83FE6"/>
    <w:lvl w:ilvl="0">
      <w:start w:val="1"/>
      <w:numFmt w:val="decimal"/>
      <w:lvlText w:val="%1."/>
      <w:lvlJc w:val="left"/>
      <w:pPr>
        <w:tabs>
          <w:tab w:val="num" w:pos="643"/>
        </w:tabs>
        <w:ind w:left="643" w:hanging="360"/>
      </w:pPr>
    </w:lvl>
  </w:abstractNum>
  <w:abstractNum w:abstractNumId="5">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26E9B0"/>
    <w:lvl w:ilvl="0">
      <w:start w:val="1"/>
      <w:numFmt w:val="decimal"/>
      <w:lvlText w:val="%1."/>
      <w:lvlJc w:val="left"/>
      <w:pPr>
        <w:tabs>
          <w:tab w:val="num" w:pos="360"/>
        </w:tabs>
        <w:ind w:left="360" w:hanging="360"/>
      </w:pPr>
    </w:lvl>
  </w:abstractNum>
  <w:abstractNum w:abstractNumId="1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2E1BE7"/>
    <w:multiLevelType w:val="hybridMultilevel"/>
    <w:tmpl w:val="525611B8"/>
    <w:lvl w:ilvl="0" w:tplc="0C09000B">
      <w:start w:val="1"/>
      <w:numFmt w:val="bullet"/>
      <w:lvlText w:val=""/>
      <w:lvlJc w:val="left"/>
      <w:pPr>
        <w:ind w:left="2700" w:hanging="360"/>
      </w:pPr>
      <w:rPr>
        <w:rFonts w:ascii="Wingdings" w:hAnsi="Wingdings" w:hint="default"/>
      </w:rPr>
    </w:lvl>
    <w:lvl w:ilvl="1" w:tplc="0C090019">
      <w:start w:val="1"/>
      <w:numFmt w:val="lowerLetter"/>
      <w:lvlText w:val="%2."/>
      <w:lvlJc w:val="left"/>
      <w:pPr>
        <w:ind w:left="3420" w:hanging="360"/>
      </w:pPr>
    </w:lvl>
    <w:lvl w:ilvl="2" w:tplc="0C09001B">
      <w:start w:val="1"/>
      <w:numFmt w:val="lowerRoman"/>
      <w:lvlText w:val="%3."/>
      <w:lvlJc w:val="right"/>
      <w:pPr>
        <w:ind w:left="4140" w:hanging="180"/>
      </w:pPr>
    </w:lvl>
    <w:lvl w:ilvl="3" w:tplc="0C09000F">
      <w:start w:val="1"/>
      <w:numFmt w:val="decimal"/>
      <w:lvlText w:val="%4."/>
      <w:lvlJc w:val="left"/>
      <w:pPr>
        <w:ind w:left="4860" w:hanging="360"/>
      </w:pPr>
    </w:lvl>
    <w:lvl w:ilvl="4" w:tplc="0C090019">
      <w:start w:val="1"/>
      <w:numFmt w:val="lowerLetter"/>
      <w:lvlText w:val="%5."/>
      <w:lvlJc w:val="left"/>
      <w:pPr>
        <w:ind w:left="5580" w:hanging="360"/>
      </w:pPr>
    </w:lvl>
    <w:lvl w:ilvl="5" w:tplc="0C09001B">
      <w:start w:val="1"/>
      <w:numFmt w:val="lowerRoman"/>
      <w:lvlText w:val="%6."/>
      <w:lvlJc w:val="right"/>
      <w:pPr>
        <w:ind w:left="6300" w:hanging="180"/>
      </w:pPr>
    </w:lvl>
    <w:lvl w:ilvl="6" w:tplc="0C09000F">
      <w:start w:val="1"/>
      <w:numFmt w:val="decimal"/>
      <w:lvlText w:val="%7."/>
      <w:lvlJc w:val="left"/>
      <w:pPr>
        <w:ind w:left="7020" w:hanging="360"/>
      </w:pPr>
    </w:lvl>
    <w:lvl w:ilvl="7" w:tplc="0C090019">
      <w:start w:val="1"/>
      <w:numFmt w:val="lowerLetter"/>
      <w:lvlText w:val="%8."/>
      <w:lvlJc w:val="left"/>
      <w:pPr>
        <w:ind w:left="7740" w:hanging="360"/>
      </w:pPr>
    </w:lvl>
    <w:lvl w:ilvl="8" w:tplc="0C09001B">
      <w:start w:val="1"/>
      <w:numFmt w:val="lowerRoman"/>
      <w:lvlText w:val="%9."/>
      <w:lvlJc w:val="right"/>
      <w:pPr>
        <w:ind w:left="8460" w:hanging="180"/>
      </w:pPr>
    </w:lvl>
  </w:abstractNum>
  <w:abstractNum w:abstractNumId="13">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52E135F"/>
    <w:multiLevelType w:val="hybridMultilevel"/>
    <w:tmpl w:val="E28E25C4"/>
    <w:lvl w:ilvl="0" w:tplc="2B7C8CC2">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BB75C2"/>
    <w:multiLevelType w:val="hybridMultilevel"/>
    <w:tmpl w:val="EEDAB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E03BA"/>
    <w:multiLevelType w:val="hybridMultilevel"/>
    <w:tmpl w:val="44445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E16B80"/>
    <w:multiLevelType w:val="hybridMultilevel"/>
    <w:tmpl w:val="D66C7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A046564"/>
    <w:multiLevelType w:val="hybridMultilevel"/>
    <w:tmpl w:val="6406CAE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72FC10E3"/>
    <w:multiLevelType w:val="hybridMultilevel"/>
    <w:tmpl w:val="6142B322"/>
    <w:lvl w:ilvl="0" w:tplc="B4A822AE">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8780C"/>
    <w:multiLevelType w:val="hybridMultilevel"/>
    <w:tmpl w:val="50BCBA5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1"/>
  </w:num>
  <w:num w:numId="4">
    <w:abstractNumId w:val="19"/>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23"/>
  </w:num>
  <w:num w:numId="18">
    <w:abstractNumId w:val="14"/>
  </w:num>
  <w:num w:numId="19">
    <w:abstractNumId w:val="18"/>
  </w:num>
  <w:num w:numId="20">
    <w:abstractNumId w:val="25"/>
  </w:num>
  <w:num w:numId="21">
    <w:abstractNumId w:val="15"/>
  </w:num>
  <w:num w:numId="22">
    <w:abstractNumId w:val="23"/>
    <w:lvlOverride w:ilvl="0">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12"/>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5c7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C9"/>
    <w:rsid w:val="000172FA"/>
    <w:rsid w:val="000234C9"/>
    <w:rsid w:val="00030EED"/>
    <w:rsid w:val="00063304"/>
    <w:rsid w:val="000777AF"/>
    <w:rsid w:val="00083F57"/>
    <w:rsid w:val="00094C1B"/>
    <w:rsid w:val="000C495D"/>
    <w:rsid w:val="000D2821"/>
    <w:rsid w:val="000F41E9"/>
    <w:rsid w:val="000F55A1"/>
    <w:rsid w:val="001004A9"/>
    <w:rsid w:val="001034AC"/>
    <w:rsid w:val="00140099"/>
    <w:rsid w:val="00140560"/>
    <w:rsid w:val="00141E3D"/>
    <w:rsid w:val="00155EFC"/>
    <w:rsid w:val="001743E6"/>
    <w:rsid w:val="00181AB6"/>
    <w:rsid w:val="00194E89"/>
    <w:rsid w:val="001D4F2F"/>
    <w:rsid w:val="0020620C"/>
    <w:rsid w:val="00212EE7"/>
    <w:rsid w:val="00214367"/>
    <w:rsid w:val="00232ADC"/>
    <w:rsid w:val="00242AFD"/>
    <w:rsid w:val="002970F7"/>
    <w:rsid w:val="002B6D13"/>
    <w:rsid w:val="002C5CE1"/>
    <w:rsid w:val="002D17EB"/>
    <w:rsid w:val="002F3A08"/>
    <w:rsid w:val="00300F38"/>
    <w:rsid w:val="00302252"/>
    <w:rsid w:val="003301BF"/>
    <w:rsid w:val="00363F51"/>
    <w:rsid w:val="00381AC8"/>
    <w:rsid w:val="003A71D6"/>
    <w:rsid w:val="003B64C0"/>
    <w:rsid w:val="003C1BBA"/>
    <w:rsid w:val="003C7966"/>
    <w:rsid w:val="003E40A0"/>
    <w:rsid w:val="00400367"/>
    <w:rsid w:val="004047FE"/>
    <w:rsid w:val="00406AA8"/>
    <w:rsid w:val="00412328"/>
    <w:rsid w:val="004236F7"/>
    <w:rsid w:val="00443BDF"/>
    <w:rsid w:val="00446DB8"/>
    <w:rsid w:val="00451D8E"/>
    <w:rsid w:val="004B05EE"/>
    <w:rsid w:val="004B3D99"/>
    <w:rsid w:val="004C7AB2"/>
    <w:rsid w:val="004E742A"/>
    <w:rsid w:val="005224BB"/>
    <w:rsid w:val="00530355"/>
    <w:rsid w:val="00541AB4"/>
    <w:rsid w:val="00544BEB"/>
    <w:rsid w:val="0055747C"/>
    <w:rsid w:val="00565935"/>
    <w:rsid w:val="00573E86"/>
    <w:rsid w:val="0057666D"/>
    <w:rsid w:val="005946CF"/>
    <w:rsid w:val="005960B6"/>
    <w:rsid w:val="005A6A30"/>
    <w:rsid w:val="005B672A"/>
    <w:rsid w:val="005D2AF5"/>
    <w:rsid w:val="00605588"/>
    <w:rsid w:val="00636C3D"/>
    <w:rsid w:val="00647123"/>
    <w:rsid w:val="0066061E"/>
    <w:rsid w:val="006675EF"/>
    <w:rsid w:val="006927CC"/>
    <w:rsid w:val="006B5F24"/>
    <w:rsid w:val="006F3B76"/>
    <w:rsid w:val="006F4215"/>
    <w:rsid w:val="006F4B16"/>
    <w:rsid w:val="00707B63"/>
    <w:rsid w:val="007126C7"/>
    <w:rsid w:val="00720011"/>
    <w:rsid w:val="0072625D"/>
    <w:rsid w:val="00733D5E"/>
    <w:rsid w:val="007427BF"/>
    <w:rsid w:val="007638DC"/>
    <w:rsid w:val="007750F8"/>
    <w:rsid w:val="007819DF"/>
    <w:rsid w:val="007869B3"/>
    <w:rsid w:val="007915BD"/>
    <w:rsid w:val="007954E3"/>
    <w:rsid w:val="007A5AA4"/>
    <w:rsid w:val="007B261C"/>
    <w:rsid w:val="007C0190"/>
    <w:rsid w:val="007E4787"/>
    <w:rsid w:val="00806FC7"/>
    <w:rsid w:val="008231B6"/>
    <w:rsid w:val="00834D71"/>
    <w:rsid w:val="00846C4E"/>
    <w:rsid w:val="00851DD2"/>
    <w:rsid w:val="00860537"/>
    <w:rsid w:val="00862188"/>
    <w:rsid w:val="00871837"/>
    <w:rsid w:val="00887298"/>
    <w:rsid w:val="00887C4C"/>
    <w:rsid w:val="00890E37"/>
    <w:rsid w:val="008A3097"/>
    <w:rsid w:val="008C2D54"/>
    <w:rsid w:val="008C6C5B"/>
    <w:rsid w:val="008F1D19"/>
    <w:rsid w:val="008F57B4"/>
    <w:rsid w:val="00917AF4"/>
    <w:rsid w:val="00942DB3"/>
    <w:rsid w:val="00973215"/>
    <w:rsid w:val="009778E5"/>
    <w:rsid w:val="00995591"/>
    <w:rsid w:val="009C294B"/>
    <w:rsid w:val="009D3263"/>
    <w:rsid w:val="009F602D"/>
    <w:rsid w:val="00A10E36"/>
    <w:rsid w:val="00A14AA8"/>
    <w:rsid w:val="00A35BF3"/>
    <w:rsid w:val="00A45E14"/>
    <w:rsid w:val="00A52C78"/>
    <w:rsid w:val="00A73096"/>
    <w:rsid w:val="00A7675E"/>
    <w:rsid w:val="00A87CA8"/>
    <w:rsid w:val="00AC4472"/>
    <w:rsid w:val="00AD2300"/>
    <w:rsid w:val="00AD7131"/>
    <w:rsid w:val="00AF1A72"/>
    <w:rsid w:val="00B01A97"/>
    <w:rsid w:val="00B218F6"/>
    <w:rsid w:val="00B24B85"/>
    <w:rsid w:val="00B24F97"/>
    <w:rsid w:val="00B510E5"/>
    <w:rsid w:val="00B546D6"/>
    <w:rsid w:val="00B67395"/>
    <w:rsid w:val="00B93407"/>
    <w:rsid w:val="00B94A87"/>
    <w:rsid w:val="00BC2104"/>
    <w:rsid w:val="00BC3080"/>
    <w:rsid w:val="00C079F9"/>
    <w:rsid w:val="00C10B51"/>
    <w:rsid w:val="00C51E35"/>
    <w:rsid w:val="00C540C7"/>
    <w:rsid w:val="00C54921"/>
    <w:rsid w:val="00C61359"/>
    <w:rsid w:val="00C825A7"/>
    <w:rsid w:val="00C95E53"/>
    <w:rsid w:val="00CB58FE"/>
    <w:rsid w:val="00CB5C78"/>
    <w:rsid w:val="00CB796C"/>
    <w:rsid w:val="00CC2E88"/>
    <w:rsid w:val="00CE2FF6"/>
    <w:rsid w:val="00CF1237"/>
    <w:rsid w:val="00CF15DF"/>
    <w:rsid w:val="00D03828"/>
    <w:rsid w:val="00D42B30"/>
    <w:rsid w:val="00D81B84"/>
    <w:rsid w:val="00D81E3C"/>
    <w:rsid w:val="00D9312A"/>
    <w:rsid w:val="00D95BC4"/>
    <w:rsid w:val="00DA3BC3"/>
    <w:rsid w:val="00DB427A"/>
    <w:rsid w:val="00DC0850"/>
    <w:rsid w:val="00DC3021"/>
    <w:rsid w:val="00DC37DB"/>
    <w:rsid w:val="00DD5807"/>
    <w:rsid w:val="00DF09C1"/>
    <w:rsid w:val="00E34527"/>
    <w:rsid w:val="00E3534D"/>
    <w:rsid w:val="00E35BCB"/>
    <w:rsid w:val="00E43E34"/>
    <w:rsid w:val="00E6030D"/>
    <w:rsid w:val="00E61184"/>
    <w:rsid w:val="00E61295"/>
    <w:rsid w:val="00E70C20"/>
    <w:rsid w:val="00E942C8"/>
    <w:rsid w:val="00EA455E"/>
    <w:rsid w:val="00EB0E34"/>
    <w:rsid w:val="00EF0D20"/>
    <w:rsid w:val="00F078FC"/>
    <w:rsid w:val="00F219FD"/>
    <w:rsid w:val="00F27187"/>
    <w:rsid w:val="00F35B48"/>
    <w:rsid w:val="00F40EF5"/>
    <w:rsid w:val="00F61C1A"/>
    <w:rsid w:val="00F703CA"/>
    <w:rsid w:val="00F81E13"/>
    <w:rsid w:val="00FA6469"/>
    <w:rsid w:val="00FB1E89"/>
    <w:rsid w:val="00FB3236"/>
    <w:rsid w:val="00FB5FB0"/>
    <w:rsid w:val="00FD6BD7"/>
    <w:rsid w:val="00FF3C1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5c7f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95C"/>
    <w:rPr>
      <w:rFonts w:ascii="Gill Sans" w:eastAsia="Times New Roman" w:hAnsi="Gill Sans"/>
      <w:b/>
      <w:bCs/>
      <w:iCs/>
      <w:caps/>
      <w:color w:val="5C7F92"/>
      <w:sz w:val="24"/>
      <w:szCs w:val="28"/>
    </w:rPr>
  </w:style>
  <w:style w:type="character" w:customStyle="1" w:styleId="Heading1Char">
    <w:name w:val="Heading 1 Char"/>
    <w:basedOn w:val="DefaultParagraphFont"/>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9F602D"/>
    <w:rPr>
      <w:rFonts w:ascii="GillSans" w:hAnsi="GillSans"/>
      <w:b/>
      <w:sz w:val="48"/>
      <w:szCs w:val="48"/>
    </w:rPr>
  </w:style>
  <w:style w:type="paragraph" w:customStyle="1" w:styleId="Secondcoverheader">
    <w:name w:val="Second cover header"/>
    <w:basedOn w:val="Heading2"/>
    <w:link w:val="SecondcoverheaderChar"/>
    <w:qFormat/>
    <w:rsid w:val="00242AFD"/>
    <w:rPr>
      <w:b w:val="0"/>
      <w:sz w:val="32"/>
    </w:rPr>
  </w:style>
  <w:style w:type="character" w:customStyle="1" w:styleId="MaincoverheaderChar">
    <w:name w:val="Main cover header Char"/>
    <w:basedOn w:val="Heading1Char"/>
    <w:link w:val="Maincoverheader"/>
    <w:rsid w:val="009F602D"/>
    <w:rPr>
      <w:rFonts w:ascii="GillSans" w:eastAsia="Times New Roman" w:hAnsi="GillSans"/>
      <w:b/>
      <w:bCs/>
      <w:iCs/>
      <w:color w:val="94A545"/>
      <w:sz w:val="48"/>
      <w:szCs w:val="48"/>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bCs/>
      <w:iCs/>
      <w:caps/>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973215"/>
    <w:rPr>
      <w:sz w:val="16"/>
      <w:szCs w:val="16"/>
    </w:rPr>
  </w:style>
  <w:style w:type="paragraph" w:styleId="CommentText">
    <w:name w:val="annotation text"/>
    <w:basedOn w:val="Normal"/>
    <w:link w:val="CommentTextChar"/>
    <w:uiPriority w:val="99"/>
    <w:semiHidden/>
    <w:unhideWhenUsed/>
    <w:rsid w:val="00973215"/>
    <w:pPr>
      <w:spacing w:line="240" w:lineRule="auto"/>
    </w:pPr>
    <w:rPr>
      <w:sz w:val="20"/>
      <w:szCs w:val="20"/>
    </w:rPr>
  </w:style>
  <w:style w:type="character" w:customStyle="1" w:styleId="CommentTextChar">
    <w:name w:val="Comment Text Char"/>
    <w:basedOn w:val="DefaultParagraphFont"/>
    <w:link w:val="CommentText"/>
    <w:uiPriority w:val="99"/>
    <w:semiHidden/>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ListParagraph">
    <w:name w:val="List Paragraph"/>
    <w:basedOn w:val="Normal"/>
    <w:uiPriority w:val="72"/>
    <w:qFormat/>
    <w:rsid w:val="00F61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95C"/>
    <w:rPr>
      <w:rFonts w:ascii="Gill Sans" w:eastAsia="Times New Roman" w:hAnsi="Gill Sans"/>
      <w:b/>
      <w:bCs/>
      <w:iCs/>
      <w:caps/>
      <w:color w:val="5C7F92"/>
      <w:sz w:val="24"/>
      <w:szCs w:val="28"/>
    </w:rPr>
  </w:style>
  <w:style w:type="character" w:customStyle="1" w:styleId="Heading1Char">
    <w:name w:val="Heading 1 Char"/>
    <w:basedOn w:val="DefaultParagraphFont"/>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9F602D"/>
    <w:rPr>
      <w:rFonts w:ascii="GillSans" w:hAnsi="GillSans"/>
      <w:b/>
      <w:sz w:val="48"/>
      <w:szCs w:val="48"/>
    </w:rPr>
  </w:style>
  <w:style w:type="paragraph" w:customStyle="1" w:styleId="Secondcoverheader">
    <w:name w:val="Second cover header"/>
    <w:basedOn w:val="Heading2"/>
    <w:link w:val="SecondcoverheaderChar"/>
    <w:qFormat/>
    <w:rsid w:val="00242AFD"/>
    <w:rPr>
      <w:b w:val="0"/>
      <w:sz w:val="32"/>
    </w:rPr>
  </w:style>
  <w:style w:type="character" w:customStyle="1" w:styleId="MaincoverheaderChar">
    <w:name w:val="Main cover header Char"/>
    <w:basedOn w:val="Heading1Char"/>
    <w:link w:val="Maincoverheader"/>
    <w:rsid w:val="009F602D"/>
    <w:rPr>
      <w:rFonts w:ascii="GillSans" w:eastAsia="Times New Roman" w:hAnsi="GillSans"/>
      <w:b/>
      <w:bCs/>
      <w:iCs/>
      <w:color w:val="94A545"/>
      <w:sz w:val="48"/>
      <w:szCs w:val="48"/>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bCs/>
      <w:iCs/>
      <w:caps/>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973215"/>
    <w:rPr>
      <w:sz w:val="16"/>
      <w:szCs w:val="16"/>
    </w:rPr>
  </w:style>
  <w:style w:type="paragraph" w:styleId="CommentText">
    <w:name w:val="annotation text"/>
    <w:basedOn w:val="Normal"/>
    <w:link w:val="CommentTextChar"/>
    <w:uiPriority w:val="99"/>
    <w:semiHidden/>
    <w:unhideWhenUsed/>
    <w:rsid w:val="00973215"/>
    <w:pPr>
      <w:spacing w:line="240" w:lineRule="auto"/>
    </w:pPr>
    <w:rPr>
      <w:sz w:val="20"/>
      <w:szCs w:val="20"/>
    </w:rPr>
  </w:style>
  <w:style w:type="character" w:customStyle="1" w:styleId="CommentTextChar">
    <w:name w:val="Comment Text Char"/>
    <w:basedOn w:val="DefaultParagraphFont"/>
    <w:link w:val="CommentText"/>
    <w:uiPriority w:val="99"/>
    <w:semiHidden/>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ListParagraph">
    <w:name w:val="List Paragraph"/>
    <w:basedOn w:val="Normal"/>
    <w:uiPriority w:val="72"/>
    <w:qFormat/>
    <w:rsid w:val="00F6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0549">
      <w:bodyDiv w:val="1"/>
      <w:marLeft w:val="0"/>
      <w:marRight w:val="0"/>
      <w:marTop w:val="0"/>
      <w:marBottom w:val="0"/>
      <w:divBdr>
        <w:top w:val="none" w:sz="0" w:space="0" w:color="auto"/>
        <w:left w:val="none" w:sz="0" w:space="0" w:color="auto"/>
        <w:bottom w:val="none" w:sz="0" w:space="0" w:color="auto"/>
        <w:right w:val="none" w:sz="0" w:space="0" w:color="auto"/>
      </w:divBdr>
    </w:div>
    <w:div w:id="699284305">
      <w:bodyDiv w:val="1"/>
      <w:marLeft w:val="0"/>
      <w:marRight w:val="0"/>
      <w:marTop w:val="0"/>
      <w:marBottom w:val="0"/>
      <w:divBdr>
        <w:top w:val="none" w:sz="0" w:space="0" w:color="auto"/>
        <w:left w:val="none" w:sz="0" w:space="0" w:color="auto"/>
        <w:bottom w:val="none" w:sz="0" w:space="0" w:color="auto"/>
        <w:right w:val="none" w:sz="0" w:space="0" w:color="auto"/>
      </w:divBdr>
    </w:div>
    <w:div w:id="870268778">
      <w:bodyDiv w:val="1"/>
      <w:marLeft w:val="0"/>
      <w:marRight w:val="0"/>
      <w:marTop w:val="0"/>
      <w:marBottom w:val="0"/>
      <w:divBdr>
        <w:top w:val="none" w:sz="0" w:space="0" w:color="auto"/>
        <w:left w:val="none" w:sz="0" w:space="0" w:color="auto"/>
        <w:bottom w:val="none" w:sz="0" w:space="0" w:color="auto"/>
        <w:right w:val="none" w:sz="0" w:space="0" w:color="auto"/>
      </w:divBdr>
    </w:div>
    <w:div w:id="1066340236">
      <w:bodyDiv w:val="1"/>
      <w:marLeft w:val="0"/>
      <w:marRight w:val="0"/>
      <w:marTop w:val="0"/>
      <w:marBottom w:val="0"/>
      <w:divBdr>
        <w:top w:val="none" w:sz="0" w:space="0" w:color="auto"/>
        <w:left w:val="none" w:sz="0" w:space="0" w:color="auto"/>
        <w:bottom w:val="none" w:sz="0" w:space="0" w:color="auto"/>
        <w:right w:val="none" w:sz="0" w:space="0" w:color="auto"/>
      </w:divBdr>
    </w:div>
    <w:div w:id="1219324720">
      <w:bodyDiv w:val="1"/>
      <w:marLeft w:val="0"/>
      <w:marRight w:val="0"/>
      <w:marTop w:val="0"/>
      <w:marBottom w:val="0"/>
      <w:divBdr>
        <w:top w:val="none" w:sz="0" w:space="0" w:color="auto"/>
        <w:left w:val="none" w:sz="0" w:space="0" w:color="auto"/>
        <w:bottom w:val="none" w:sz="0" w:space="0" w:color="auto"/>
        <w:right w:val="none" w:sz="0" w:space="0" w:color="auto"/>
      </w:divBdr>
    </w:div>
    <w:div w:id="1363821729">
      <w:bodyDiv w:val="1"/>
      <w:marLeft w:val="0"/>
      <w:marRight w:val="0"/>
      <w:marTop w:val="0"/>
      <w:marBottom w:val="0"/>
      <w:divBdr>
        <w:top w:val="none" w:sz="0" w:space="0" w:color="auto"/>
        <w:left w:val="none" w:sz="0" w:space="0" w:color="auto"/>
        <w:bottom w:val="none" w:sz="0" w:space="0" w:color="auto"/>
        <w:right w:val="none" w:sz="0" w:space="0" w:color="auto"/>
      </w:divBdr>
    </w:div>
    <w:div w:id="1457870852">
      <w:bodyDiv w:val="1"/>
      <w:marLeft w:val="0"/>
      <w:marRight w:val="0"/>
      <w:marTop w:val="0"/>
      <w:marBottom w:val="0"/>
      <w:divBdr>
        <w:top w:val="none" w:sz="0" w:space="0" w:color="auto"/>
        <w:left w:val="none" w:sz="0" w:space="0" w:color="auto"/>
        <w:bottom w:val="none" w:sz="0" w:space="0" w:color="auto"/>
        <w:right w:val="none" w:sz="0" w:space="0" w:color="auto"/>
      </w:divBdr>
    </w:div>
    <w:div w:id="1543058300">
      <w:bodyDiv w:val="1"/>
      <w:marLeft w:val="0"/>
      <w:marRight w:val="0"/>
      <w:marTop w:val="0"/>
      <w:marBottom w:val="0"/>
      <w:divBdr>
        <w:top w:val="none" w:sz="0" w:space="0" w:color="auto"/>
        <w:left w:val="none" w:sz="0" w:space="0" w:color="auto"/>
        <w:bottom w:val="none" w:sz="0" w:space="0" w:color="auto"/>
        <w:right w:val="none" w:sz="0" w:space="0" w:color="auto"/>
      </w:divBdr>
    </w:div>
    <w:div w:id="1829596387">
      <w:bodyDiv w:val="1"/>
      <w:marLeft w:val="0"/>
      <w:marRight w:val="0"/>
      <w:marTop w:val="0"/>
      <w:marBottom w:val="0"/>
      <w:divBdr>
        <w:top w:val="none" w:sz="0" w:space="0" w:color="auto"/>
        <w:left w:val="none" w:sz="0" w:space="0" w:color="auto"/>
        <w:bottom w:val="none" w:sz="0" w:space="0" w:color="auto"/>
        <w:right w:val="none" w:sz="0" w:space="0" w:color="auto"/>
      </w:divBdr>
    </w:div>
    <w:div w:id="2062508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74A917DF</Template>
  <TotalTime>0</TotalTime>
  <Pages>3</Pages>
  <Words>643</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Planning Reforms Fact Sheet 3 - Legislation for a Tasmanian Planning Scheme</vt:lpstr>
    </vt:vector>
  </TitlesOfParts>
  <Company>Department of Justice</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Reforms Fact Sheet 3 - Legislation for a Tasmanian Planning Scheme</dc:title>
  <dc:subject>land planning</dc:subject>
  <dc:creator>Department of Justice</dc:creator>
  <cp:keywords>planning scheme, tps, legislation, law</cp:keywords>
  <cp:lastModifiedBy>Holvey, Tina</cp:lastModifiedBy>
  <cp:revision>2</cp:revision>
  <cp:lastPrinted>2014-08-22T07:14:00Z</cp:lastPrinted>
  <dcterms:created xsi:type="dcterms:W3CDTF">2015-06-28T23:23:00Z</dcterms:created>
  <dcterms:modified xsi:type="dcterms:W3CDTF">2015-06-28T23:23:00Z</dcterms:modified>
</cp:coreProperties>
</file>